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"/>
        <w:ind w:left="1080" w:right="1090" w:firstLine="0"/>
        <w:jc w:val="center"/>
        <w:rPr>
          <w:sz w:val="40"/>
        </w:rPr>
      </w:pPr>
      <w:r>
        <w:rPr>
          <w:sz w:val="40"/>
        </w:rPr>
        <w:t>食品業者投保產品責任保險修正總說明</w:t>
      </w:r>
    </w:p>
    <w:p>
      <w:pPr>
        <w:pStyle w:val="BodyText"/>
        <w:spacing w:before="7"/>
        <w:ind w:left="0" w:firstLine="0"/>
        <w:jc w:val="left"/>
        <w:rPr>
          <w:sz w:val="34"/>
        </w:rPr>
      </w:pPr>
    </w:p>
    <w:p>
      <w:pPr>
        <w:pStyle w:val="BodyText"/>
        <w:spacing w:line="280" w:lineRule="auto"/>
        <w:ind w:left="102" w:right="113" w:firstLine="559"/>
      </w:pPr>
      <w:r>
        <w:rPr/>
        <w:t>「食品業者投保產品責任保險」係依據食品安全衛生管理法第十三條（前為食品衛生管理法第二十一條）規定，經中央主管機關公告類別及規模之食品業者，應投保產品責任保險，於九十六年五月二日訂定發布，歷經三次修正。現行規範之對象係以一百零六年六月八日衛授食字</w:t>
      </w:r>
      <w:r>
        <w:rPr>
          <w:spacing w:val="32"/>
        </w:rPr>
        <w:t>第一</w:t>
      </w:r>
      <w:r>
        <w:rPr>
          <w:rFonts w:ascii="Times New Roman" w:hAnsi="Times New Roman" w:eastAsia="Times New Roman"/>
        </w:rPr>
        <w:t>Ο </w:t>
      </w:r>
      <w:r>
        <w:rPr>
          <w:spacing w:val="20"/>
        </w:rPr>
        <w:t>六一三</w:t>
      </w:r>
      <w:r>
        <w:rPr>
          <w:rFonts w:ascii="Times New Roman" w:hAnsi="Times New Roman" w:eastAsia="Times New Roman"/>
        </w:rPr>
        <w:t>Ο </w:t>
      </w:r>
      <w:r>
        <w:rPr>
          <w:spacing w:val="63"/>
        </w:rPr>
        <w:t>一</w:t>
      </w:r>
      <w:r>
        <w:rPr>
          <w:rFonts w:ascii="Times New Roman" w:hAnsi="Times New Roman" w:eastAsia="Times New Roman"/>
        </w:rPr>
        <w:t>Ο </w:t>
      </w:r>
      <w:r>
        <w:rPr>
          <w:spacing w:val="-4"/>
        </w:rPr>
        <w:t>九二號公告修正之「食品業者投保產品責任保險」</w:t>
      </w:r>
      <w:r>
        <w:rPr/>
        <w:t>為據。</w:t>
      </w:r>
    </w:p>
    <w:p>
      <w:pPr>
        <w:pStyle w:val="BodyText"/>
        <w:spacing w:line="283" w:lineRule="auto" w:before="11"/>
        <w:ind w:left="102" w:right="115" w:firstLine="559"/>
      </w:pPr>
      <w:r>
        <w:rPr>
          <w:color w:val="FF0000"/>
        </w:rPr>
        <w:t>為強化對消費者之保障，並配合行政院農業委員會訂定「農產品初</w:t>
      </w:r>
      <w:r>
        <w:rPr>
          <w:color w:val="FF0000"/>
          <w:spacing w:val="-6"/>
        </w:rPr>
        <w:t>級加工場管理辦法」，故增列具稅籍登記之食品或食品添加物輸入與製</w:t>
      </w:r>
      <w:r>
        <w:rPr>
          <w:color w:val="FF0000"/>
        </w:rPr>
        <w:t>造業，及農產品初級加工場登記之食品製造業者為投保產品責任保險之</w:t>
      </w:r>
      <w:r>
        <w:rPr>
          <w:color w:val="FF0000"/>
          <w:spacing w:val="-1"/>
        </w:rPr>
        <w:t>實施對象</w:t>
      </w:r>
      <w:r>
        <w:rPr>
          <w:spacing w:val="-3"/>
        </w:rPr>
        <w:t>，本次修正要點如下：</w:t>
      </w:r>
    </w:p>
    <w:p>
      <w:pPr>
        <w:pStyle w:val="BodyText"/>
        <w:spacing w:line="283" w:lineRule="auto"/>
        <w:ind w:right="113"/>
      </w:pPr>
      <w:r>
        <w:rPr>
          <w:spacing w:val="6"/>
          <w:sz w:val="24"/>
        </w:rPr>
        <w:t>一、 </w:t>
      </w:r>
      <w:r>
        <w:rPr>
          <w:spacing w:val="7"/>
        </w:rPr>
        <w:t>增列具有「</w:t>
      </w:r>
      <w:r>
        <w:rPr>
          <w:color w:val="FF0000"/>
          <w:spacing w:val="7"/>
        </w:rPr>
        <w:t>稅籍登記</w:t>
      </w:r>
      <w:r>
        <w:rPr>
          <w:spacing w:val="7"/>
        </w:rPr>
        <w:t>」或「</w:t>
      </w:r>
      <w:r>
        <w:rPr>
          <w:color w:val="FF0000"/>
          <w:spacing w:val="7"/>
        </w:rPr>
        <w:t>農產品初級加工場登記</w:t>
      </w:r>
      <w:r>
        <w:rPr>
          <w:spacing w:val="5"/>
        </w:rPr>
        <w:t>」之食品或食</w:t>
      </w:r>
      <w:r>
        <w:rPr>
          <w:spacing w:val="-2"/>
        </w:rPr>
        <w:t>品添加物製造、加工或調配業及輸入業者為實施對象。</w:t>
      </w:r>
      <w:r>
        <w:rPr/>
        <w:t>（修正規定第二點）</w:t>
      </w:r>
    </w:p>
    <w:p>
      <w:pPr>
        <w:pStyle w:val="BodyText"/>
        <w:spacing w:line="283" w:lineRule="auto"/>
        <w:ind w:right="115"/>
      </w:pPr>
      <w:r>
        <w:rPr>
          <w:sz w:val="24"/>
        </w:rPr>
        <w:t>二、 </w:t>
      </w:r>
      <w:r>
        <w:rPr/>
        <w:t>明定具有「</w:t>
      </w:r>
      <w:r>
        <w:rPr>
          <w:color w:val="FF0000"/>
        </w:rPr>
        <w:t>稅籍登記</w:t>
      </w:r>
      <w:r>
        <w:rPr/>
        <w:t>」或「</w:t>
      </w:r>
      <w:r>
        <w:rPr>
          <w:color w:val="FF0000"/>
        </w:rPr>
        <w:t>農產品初級加工場登記</w:t>
      </w:r>
      <w:r>
        <w:rPr/>
        <w:t>」之食品或食品添加物製造、加工或調配業及輸入業為實施對象之施行日期。</w:t>
      </w:r>
    </w:p>
    <w:p>
      <w:pPr>
        <w:pStyle w:val="BodyText"/>
        <w:spacing w:line="389" w:lineRule="exact"/>
        <w:ind w:firstLine="0"/>
        <w:jc w:val="left"/>
      </w:pPr>
      <w:r>
        <w:rPr/>
        <w:t>（修正規定第六點）</w:t>
      </w:r>
    </w:p>
    <w:sectPr>
      <w:type w:val="continuous"/>
      <w:pgSz w:w="11910" w:h="16840"/>
      <w:pgMar w:top="1360" w:bottom="280" w:left="16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zh-tw" w:eastAsia="zh-tw" w:bidi="zh-tw"/>
    </w:rPr>
  </w:style>
  <w:style w:styleId="BodyText" w:type="paragraph">
    <w:name w:val="Body Text"/>
    <w:basedOn w:val="Normal"/>
    <w:uiPriority w:val="1"/>
    <w:qFormat/>
    <w:pPr>
      <w:ind w:left="821" w:hanging="720"/>
      <w:jc w:val="both"/>
    </w:pPr>
    <w:rPr>
      <w:rFonts w:ascii="標楷體" w:hAnsi="標楷體" w:eastAsia="標楷體" w:cs="標楷體"/>
      <w:sz w:val="28"/>
      <w:szCs w:val="28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吳宜臻</dc:creator>
  <dcterms:created xsi:type="dcterms:W3CDTF">2021-12-28T08:16:32Z</dcterms:created>
  <dcterms:modified xsi:type="dcterms:W3CDTF">2021-12-28T08:16:32Z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2021-12-28T00:00:00Z</vt:filetime>
  </property>
</Properties>
</file>