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A" w:rsidRPr="00471616" w:rsidRDefault="001C6E96" w:rsidP="00B849DA">
      <w:pPr>
        <w:spacing w:line="360" w:lineRule="exact"/>
        <w:jc w:val="center"/>
        <w:rPr>
          <w:rFonts w:ascii="Times New Roman" w:hAnsi="Times New Roman"/>
          <w:b/>
          <w:bCs/>
          <w:spacing w:val="-4"/>
          <w:sz w:val="28"/>
          <w:szCs w:val="28"/>
        </w:rPr>
      </w:pPr>
      <w:r>
        <w:rPr>
          <w:rFonts w:ascii="Times New Roman" w:hAnsi="標楷體"/>
          <w:b/>
          <w:bCs/>
          <w:noProof/>
          <w:spacing w:val="-4"/>
          <w:sz w:val="28"/>
          <w:szCs w:val="28"/>
        </w:rPr>
        <mc:AlternateContent>
          <mc:Choice Requires="wps">
            <w:drawing>
              <wp:anchor distT="0" distB="0" distL="114300" distR="114300" simplePos="0" relativeHeight="251658240" behindDoc="1" locked="0" layoutInCell="1" allowOverlap="1">
                <wp:simplePos x="0" y="0"/>
                <wp:positionH relativeFrom="column">
                  <wp:posOffset>-14605</wp:posOffset>
                </wp:positionH>
                <wp:positionV relativeFrom="paragraph">
                  <wp:posOffset>-22225</wp:posOffset>
                </wp:positionV>
                <wp:extent cx="6492240" cy="9578340"/>
                <wp:effectExtent l="11430" t="1333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578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9E2A5D" id="Rectangle 2" o:spid="_x0000_s1026" style="position:absolute;margin-left:-1.15pt;margin-top:-1.75pt;width:511.2pt;height:7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"/>
            </w:pict>
          </mc:Fallback>
        </mc:AlternateContent>
      </w:r>
      <w:r w:rsidR="00B849DA" w:rsidRPr="00471616">
        <w:rPr>
          <w:rFonts w:ascii="Times New Roman" w:hAnsi="標楷體"/>
          <w:b/>
          <w:bCs/>
          <w:spacing w:val="-4"/>
          <w:sz w:val="28"/>
          <w:szCs w:val="28"/>
        </w:rPr>
        <w:t>統計資料背景說明</w:t>
      </w:r>
    </w:p>
    <w:p w:rsidR="00B849DA" w:rsidRPr="00A44D82" w:rsidRDefault="00B849DA" w:rsidP="00B849DA">
      <w:pPr>
        <w:spacing w:line="360" w:lineRule="exact"/>
        <w:rPr>
          <w:rFonts w:ascii="Times New Roman" w:hAnsi="Times New Roman"/>
          <w:szCs w:val="24"/>
        </w:rPr>
      </w:pPr>
      <w:r w:rsidRPr="00A44D82">
        <w:rPr>
          <w:rFonts w:ascii="Times New Roman" w:hAnsi="標楷體"/>
          <w:szCs w:val="24"/>
        </w:rPr>
        <w:t>資料種類：醫療保健支出統計</w:t>
      </w:r>
    </w:p>
    <w:p w:rsidR="00B849DA" w:rsidRPr="00A44D82" w:rsidRDefault="00B849DA" w:rsidP="00B849DA">
      <w:pPr>
        <w:spacing w:line="360" w:lineRule="exact"/>
        <w:rPr>
          <w:rFonts w:ascii="Times New Roman" w:hAnsi="Times New Roman"/>
          <w:szCs w:val="24"/>
        </w:rPr>
      </w:pPr>
      <w:r w:rsidRPr="00A44D82">
        <w:rPr>
          <w:rFonts w:ascii="Times New Roman" w:hAnsi="標楷體"/>
          <w:szCs w:val="24"/>
        </w:rPr>
        <w:t>資料項目：</w:t>
      </w:r>
      <w:proofErr w:type="gramStart"/>
      <w:r w:rsidR="00B934B0">
        <w:rPr>
          <w:rFonts w:ascii="Times New Roman" w:hAnsi="標楷體" w:hint="eastAsia"/>
          <w:szCs w:val="24"/>
          <w:lang w:eastAsia="zh-HK"/>
        </w:rPr>
        <w:t>臺</w:t>
      </w:r>
      <w:proofErr w:type="gramEnd"/>
      <w:r w:rsidRPr="00A44D82">
        <w:rPr>
          <w:rFonts w:ascii="Times New Roman" w:hAnsi="標楷體"/>
          <w:szCs w:val="24"/>
        </w:rPr>
        <w:t>東縣政府醫療保健經費支出</w:t>
      </w:r>
    </w:p>
    <w:p w:rsidR="00B849DA" w:rsidRPr="00A44D82" w:rsidRDefault="00B849DA" w:rsidP="00B849DA">
      <w:pPr>
        <w:spacing w:line="360" w:lineRule="exact"/>
        <w:jc w:val="both"/>
        <w:rPr>
          <w:rFonts w:ascii="Times New Roman" w:hAnsi="Times New Roman"/>
          <w:szCs w:val="24"/>
        </w:rPr>
      </w:pPr>
      <w:r w:rsidRPr="00A44D82">
        <w:rPr>
          <w:rFonts w:ascii="Times New Roman" w:hAnsi="標楷體"/>
          <w:szCs w:val="24"/>
        </w:rPr>
        <w:t>一、發布及編製機關單位</w:t>
      </w:r>
    </w:p>
    <w:p w:rsidR="00B849DA" w:rsidRPr="00A44D82" w:rsidRDefault="00B849DA" w:rsidP="00B849DA">
      <w:pPr>
        <w:spacing w:line="360" w:lineRule="exact"/>
        <w:ind w:left="720" w:hanging="426"/>
        <w:jc w:val="both"/>
        <w:rPr>
          <w:rFonts w:ascii="Times New Roman" w:hAnsi="Times New Roman"/>
          <w:szCs w:val="24"/>
        </w:rPr>
      </w:pPr>
      <w:proofErr w:type="gramStart"/>
      <w:r w:rsidRPr="00A44D82">
        <w:rPr>
          <w:rFonts w:ascii="Times New Roman" w:hAnsi="標楷體"/>
          <w:spacing w:val="-4"/>
          <w:szCs w:val="24"/>
        </w:rPr>
        <w:t>＊</w:t>
      </w:r>
      <w:proofErr w:type="gramEnd"/>
      <w:r w:rsidRPr="00A44D82">
        <w:rPr>
          <w:rFonts w:ascii="Times New Roman" w:hAnsi="標楷體"/>
          <w:spacing w:val="-4"/>
          <w:szCs w:val="24"/>
        </w:rPr>
        <w:t>發布機關、單位：</w:t>
      </w:r>
      <w:proofErr w:type="gramStart"/>
      <w:r w:rsidR="00B934B0">
        <w:rPr>
          <w:rFonts w:ascii="Times New Roman" w:hAnsi="標楷體" w:hint="eastAsia"/>
          <w:szCs w:val="24"/>
          <w:lang w:eastAsia="zh-HK"/>
        </w:rPr>
        <w:t>臺</w:t>
      </w:r>
      <w:proofErr w:type="gramEnd"/>
      <w:r w:rsidR="00B934B0" w:rsidRPr="00A44D82">
        <w:rPr>
          <w:rFonts w:ascii="Times New Roman" w:hAnsi="標楷體"/>
          <w:szCs w:val="24"/>
        </w:rPr>
        <w:t>東</w:t>
      </w:r>
      <w:r w:rsidR="00B934B0">
        <w:rPr>
          <w:rFonts w:ascii="Times New Roman" w:hAnsi="標楷體" w:hint="eastAsia"/>
          <w:szCs w:val="24"/>
          <w:lang w:eastAsia="zh-HK"/>
        </w:rPr>
        <w:t>縣</w:t>
      </w:r>
      <w:r w:rsidRPr="00A44D82">
        <w:rPr>
          <w:rFonts w:ascii="Times New Roman" w:hAnsi="標楷體"/>
          <w:szCs w:val="24"/>
        </w:rPr>
        <w:t>衛生局會計室</w:t>
      </w:r>
    </w:p>
    <w:p w:rsidR="00B849DA" w:rsidRPr="00A44D82" w:rsidRDefault="00B849DA" w:rsidP="00B849DA">
      <w:pPr>
        <w:spacing w:line="360" w:lineRule="exact"/>
        <w:ind w:left="720" w:hanging="426"/>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編製單位：</w:t>
      </w:r>
      <w:proofErr w:type="gramStart"/>
      <w:r w:rsidR="00B934B0">
        <w:rPr>
          <w:rFonts w:ascii="Times New Roman" w:hAnsi="標楷體" w:hint="eastAsia"/>
          <w:szCs w:val="24"/>
          <w:lang w:eastAsia="zh-HK"/>
        </w:rPr>
        <w:t>臺</w:t>
      </w:r>
      <w:proofErr w:type="gramEnd"/>
      <w:r w:rsidR="00B934B0" w:rsidRPr="00A44D82">
        <w:rPr>
          <w:rFonts w:ascii="Times New Roman" w:hAnsi="標楷體"/>
          <w:szCs w:val="24"/>
        </w:rPr>
        <w:t>東</w:t>
      </w:r>
      <w:r w:rsidR="00B934B0">
        <w:rPr>
          <w:rFonts w:ascii="Times New Roman" w:hAnsi="標楷體" w:hint="eastAsia"/>
          <w:szCs w:val="24"/>
          <w:lang w:eastAsia="zh-HK"/>
        </w:rPr>
        <w:t>縣</w:t>
      </w:r>
      <w:r w:rsidRPr="00A44D82">
        <w:rPr>
          <w:rFonts w:ascii="Times New Roman" w:hAnsi="標楷體"/>
          <w:szCs w:val="24"/>
        </w:rPr>
        <w:t>衛生局會計室</w:t>
      </w:r>
    </w:p>
    <w:p w:rsidR="000B2E47" w:rsidRPr="000B2E47" w:rsidRDefault="000B2E47" w:rsidP="000B2E47">
      <w:pPr>
        <w:spacing w:line="360" w:lineRule="exact"/>
        <w:ind w:left="720" w:hanging="426"/>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聯絡</w:t>
      </w:r>
      <w:r>
        <w:rPr>
          <w:rFonts w:ascii="Times New Roman" w:hAnsi="標楷體" w:hint="eastAsia"/>
          <w:szCs w:val="24"/>
        </w:rPr>
        <w:t>人</w:t>
      </w:r>
      <w:r w:rsidRPr="00A44D82">
        <w:rPr>
          <w:rFonts w:ascii="Times New Roman" w:hAnsi="標楷體"/>
          <w:szCs w:val="24"/>
        </w:rPr>
        <w:t>：</w:t>
      </w:r>
      <w:r>
        <w:rPr>
          <w:rFonts w:ascii="Times New Roman" w:hAnsi="Times New Roman" w:hint="eastAsia"/>
          <w:szCs w:val="24"/>
        </w:rPr>
        <w:t>陳</w:t>
      </w:r>
      <w:proofErr w:type="gramStart"/>
      <w:r>
        <w:rPr>
          <w:rFonts w:ascii="Times New Roman" w:hAnsi="Times New Roman" w:hint="eastAsia"/>
          <w:szCs w:val="24"/>
        </w:rPr>
        <w:t>濡薰</w:t>
      </w:r>
      <w:proofErr w:type="gramEnd"/>
    </w:p>
    <w:p w:rsidR="00B849DA" w:rsidRPr="00A44D82" w:rsidRDefault="00B849DA" w:rsidP="00B849DA">
      <w:pPr>
        <w:spacing w:line="360" w:lineRule="exact"/>
        <w:ind w:left="720" w:hanging="426"/>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聯絡電話：</w:t>
      </w:r>
      <w:r w:rsidRPr="00A44D82">
        <w:rPr>
          <w:rFonts w:ascii="Times New Roman" w:hAnsi="Times New Roman"/>
          <w:szCs w:val="24"/>
        </w:rPr>
        <w:t>(08</w:t>
      </w:r>
      <w:r w:rsidR="00B934B0">
        <w:rPr>
          <w:rFonts w:ascii="Times New Roman" w:hAnsi="Times New Roman" w:hint="eastAsia"/>
          <w:szCs w:val="24"/>
        </w:rPr>
        <w:t>9</w:t>
      </w:r>
      <w:r w:rsidRPr="00A44D82">
        <w:rPr>
          <w:rFonts w:ascii="Times New Roman" w:hAnsi="Times New Roman"/>
          <w:szCs w:val="24"/>
        </w:rPr>
        <w:t>)</w:t>
      </w:r>
      <w:r w:rsidR="00B934B0">
        <w:rPr>
          <w:rFonts w:ascii="Times New Roman" w:hAnsi="Times New Roman" w:hint="eastAsia"/>
          <w:szCs w:val="24"/>
        </w:rPr>
        <w:t>331171*23</w:t>
      </w:r>
      <w:r w:rsidR="000B2E47">
        <w:rPr>
          <w:rFonts w:ascii="Times New Roman" w:hAnsi="Times New Roman" w:hint="eastAsia"/>
          <w:szCs w:val="24"/>
        </w:rPr>
        <w:t>3</w:t>
      </w:r>
    </w:p>
    <w:p w:rsidR="00B849DA" w:rsidRPr="00A44D82" w:rsidRDefault="00B849DA" w:rsidP="00B849DA">
      <w:pPr>
        <w:spacing w:line="360" w:lineRule="exact"/>
        <w:ind w:left="720" w:hanging="426"/>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傳真：</w:t>
      </w:r>
      <w:r w:rsidRPr="00A44D82">
        <w:rPr>
          <w:rFonts w:ascii="Times New Roman" w:hAnsi="Times New Roman"/>
          <w:szCs w:val="24"/>
        </w:rPr>
        <w:t>(08</w:t>
      </w:r>
      <w:r w:rsidR="00B934B0">
        <w:rPr>
          <w:rFonts w:ascii="Times New Roman" w:hAnsi="Times New Roman" w:hint="eastAsia"/>
          <w:szCs w:val="24"/>
        </w:rPr>
        <w:t>9</w:t>
      </w:r>
      <w:r w:rsidRPr="00A44D82">
        <w:rPr>
          <w:rFonts w:ascii="Times New Roman" w:hAnsi="Times New Roman"/>
          <w:szCs w:val="24"/>
        </w:rPr>
        <w:t>)</w:t>
      </w:r>
      <w:r w:rsidR="00B934B0">
        <w:rPr>
          <w:rFonts w:ascii="Times New Roman" w:hAnsi="Times New Roman" w:hint="eastAsia"/>
          <w:szCs w:val="24"/>
        </w:rPr>
        <w:t>359814</w:t>
      </w:r>
    </w:p>
    <w:p w:rsidR="00B849DA" w:rsidRPr="00A44D82" w:rsidRDefault="00B849DA" w:rsidP="00B849DA">
      <w:pPr>
        <w:spacing w:line="360" w:lineRule="exact"/>
        <w:ind w:left="720" w:hanging="426"/>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電子信箱：</w:t>
      </w:r>
      <w:r w:rsidR="00B934B0">
        <w:rPr>
          <w:rFonts w:ascii="Times New Roman" w:hAnsi="Times New Roman"/>
          <w:color w:val="000000"/>
          <w:sz w:val="20"/>
          <w:szCs w:val="20"/>
        </w:rPr>
        <w:t>phbd02</w:t>
      </w:r>
      <w:r w:rsidR="000B2E47">
        <w:rPr>
          <w:rFonts w:ascii="Times New Roman" w:hAnsi="Times New Roman" w:hint="eastAsia"/>
          <w:color w:val="000000"/>
          <w:sz w:val="20"/>
          <w:szCs w:val="20"/>
        </w:rPr>
        <w:t>5</w:t>
      </w:r>
      <w:r w:rsidR="00B934B0">
        <w:rPr>
          <w:rFonts w:ascii="Times New Roman" w:hAnsi="Times New Roman"/>
          <w:color w:val="000000"/>
          <w:sz w:val="20"/>
          <w:szCs w:val="20"/>
        </w:rPr>
        <w:t>@ttshb.taitung.gov.tw</w:t>
      </w:r>
    </w:p>
    <w:p w:rsidR="00B849DA" w:rsidRPr="00A44D82" w:rsidRDefault="00B849DA" w:rsidP="00B849DA">
      <w:pPr>
        <w:spacing w:line="360" w:lineRule="exact"/>
        <w:ind w:left="540" w:hanging="540"/>
        <w:jc w:val="both"/>
        <w:rPr>
          <w:rFonts w:ascii="Times New Roman" w:hAnsi="Times New Roman"/>
          <w:szCs w:val="24"/>
        </w:rPr>
      </w:pPr>
      <w:r w:rsidRPr="00A44D82">
        <w:rPr>
          <w:rFonts w:ascii="Times New Roman" w:hAnsi="標楷體"/>
          <w:szCs w:val="24"/>
        </w:rPr>
        <w:t>二、發布形式</w:t>
      </w:r>
    </w:p>
    <w:p w:rsidR="00B849DA" w:rsidRPr="00A44D82" w:rsidRDefault="00B849DA" w:rsidP="00B849DA">
      <w:pPr>
        <w:numPr>
          <w:ilvl w:val="0"/>
          <w:numId w:val="2"/>
        </w:numPr>
        <w:spacing w:line="360" w:lineRule="exact"/>
        <w:jc w:val="both"/>
        <w:rPr>
          <w:rFonts w:ascii="Times New Roman" w:hAnsi="Times New Roman"/>
          <w:szCs w:val="24"/>
        </w:rPr>
      </w:pPr>
      <w:r w:rsidRPr="00A44D82">
        <w:rPr>
          <w:rFonts w:ascii="Times New Roman" w:hAnsi="標楷體"/>
          <w:szCs w:val="24"/>
        </w:rPr>
        <w:t>口頭：</w:t>
      </w:r>
    </w:p>
    <w:p w:rsidR="00B849DA" w:rsidRPr="00A44D82" w:rsidRDefault="00B849DA" w:rsidP="00B849DA">
      <w:pPr>
        <w:spacing w:line="360" w:lineRule="exact"/>
        <w:jc w:val="both"/>
        <w:rPr>
          <w:rFonts w:ascii="Times New Roman" w:hAnsi="Times New Roman"/>
          <w:szCs w:val="24"/>
        </w:rPr>
      </w:pPr>
      <w:r w:rsidRPr="00A44D82">
        <w:rPr>
          <w:rFonts w:ascii="Times New Roman" w:hAnsi="Times New Roman"/>
          <w:szCs w:val="24"/>
        </w:rPr>
        <w:t xml:space="preserve">         </w:t>
      </w: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）記者會或說明會</w:t>
      </w:r>
    </w:p>
    <w:p w:rsidR="00B849DA" w:rsidRPr="00A44D82" w:rsidRDefault="00B849DA" w:rsidP="00B849DA">
      <w:pPr>
        <w:numPr>
          <w:ilvl w:val="0"/>
          <w:numId w:val="1"/>
        </w:numPr>
        <w:spacing w:line="360" w:lineRule="exact"/>
        <w:jc w:val="both"/>
        <w:rPr>
          <w:rFonts w:ascii="Times New Roman" w:hAnsi="Times New Roman"/>
          <w:szCs w:val="24"/>
        </w:rPr>
      </w:pPr>
      <w:r w:rsidRPr="00A44D82">
        <w:rPr>
          <w:rFonts w:ascii="Times New Roman" w:hAnsi="標楷體"/>
          <w:szCs w:val="24"/>
        </w:rPr>
        <w:t>書面：</w:t>
      </w:r>
    </w:p>
    <w:p w:rsidR="00B849DA" w:rsidRPr="00A44D82" w:rsidRDefault="00B849DA" w:rsidP="00B849DA">
      <w:pPr>
        <w:spacing w:line="360" w:lineRule="exact"/>
        <w:ind w:left="294"/>
        <w:jc w:val="both"/>
        <w:rPr>
          <w:rFonts w:ascii="Times New Roman" w:hAnsi="Times New Roman"/>
          <w:szCs w:val="24"/>
        </w:rPr>
      </w:pPr>
      <w:r w:rsidRPr="00A44D82">
        <w:rPr>
          <w:rFonts w:ascii="Times New Roman" w:hAnsi="Times New Roman"/>
          <w:szCs w:val="24"/>
        </w:rPr>
        <w:t xml:space="preserve">       </w:t>
      </w: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）新聞稿</w:t>
      </w:r>
      <w:r w:rsidRPr="00A44D82">
        <w:rPr>
          <w:rFonts w:ascii="Times New Roman" w:hAnsi="Times New Roman"/>
          <w:szCs w:val="24"/>
        </w:rPr>
        <w:t xml:space="preserve">   </w:t>
      </w:r>
      <w:r w:rsidRPr="00A44D82">
        <w:rPr>
          <w:rFonts w:ascii="Times New Roman" w:hAnsi="標楷體"/>
          <w:szCs w:val="24"/>
        </w:rPr>
        <w:t>（</w:t>
      </w:r>
      <w:r w:rsidRPr="00A44D82">
        <w:rPr>
          <w:rFonts w:ascii="Times New Roman" w:hAnsi="Times New Roman"/>
          <w:szCs w:val="24"/>
        </w:rPr>
        <w:t>v</w:t>
      </w:r>
      <w:r w:rsidRPr="00A44D82">
        <w:rPr>
          <w:rFonts w:ascii="Times New Roman" w:hAnsi="標楷體"/>
          <w:szCs w:val="24"/>
        </w:rPr>
        <w:t>）報表</w:t>
      </w:r>
      <w:r w:rsidRPr="00A44D82">
        <w:rPr>
          <w:rFonts w:ascii="Times New Roman" w:hAnsi="Times New Roman"/>
          <w:szCs w:val="24"/>
        </w:rPr>
        <w:t xml:space="preserve">  </w:t>
      </w: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）書刊，刊名：</w:t>
      </w:r>
    </w:p>
    <w:p w:rsidR="00B849DA" w:rsidRPr="00A44D82" w:rsidRDefault="00B849DA" w:rsidP="00B849DA">
      <w:pPr>
        <w:spacing w:line="360" w:lineRule="exact"/>
        <w:ind w:left="294"/>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電子媒體：</w:t>
      </w:r>
    </w:p>
    <w:p w:rsidR="00B849DA" w:rsidRPr="00A44D82" w:rsidRDefault="00B849DA" w:rsidP="00B849DA">
      <w:pPr>
        <w:spacing w:line="360" w:lineRule="exact"/>
        <w:ind w:left="966" w:right="-328" w:hanging="294"/>
        <w:jc w:val="both"/>
        <w:rPr>
          <w:rFonts w:ascii="Times New Roman" w:hAnsi="Times New Roman"/>
          <w:szCs w:val="24"/>
        </w:rPr>
      </w:pP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w:t>
      </w:r>
      <w:proofErr w:type="gramStart"/>
      <w:r w:rsidRPr="00A44D82">
        <w:rPr>
          <w:rFonts w:ascii="Times New Roman" w:hAnsi="標楷體"/>
          <w:szCs w:val="24"/>
        </w:rPr>
        <w:t>線上書刊</w:t>
      </w:r>
      <w:proofErr w:type="gramEnd"/>
      <w:r w:rsidRPr="00A44D82">
        <w:rPr>
          <w:rFonts w:ascii="Times New Roman" w:hAnsi="標楷體"/>
          <w:szCs w:val="24"/>
        </w:rPr>
        <w:t>及資料庫，網址：</w:t>
      </w:r>
      <w:r w:rsidRPr="00A44D82">
        <w:rPr>
          <w:rFonts w:ascii="Times New Roman" w:hAnsi="Times New Roman"/>
          <w:szCs w:val="24"/>
        </w:rPr>
        <w:t xml:space="preserve"> </w:t>
      </w:r>
    </w:p>
    <w:p w:rsidR="00B849DA" w:rsidRPr="00A44D82" w:rsidRDefault="00B849DA" w:rsidP="00B849DA">
      <w:pPr>
        <w:spacing w:line="360" w:lineRule="exact"/>
        <w:ind w:left="966" w:right="-328" w:hanging="294"/>
        <w:jc w:val="both"/>
        <w:rPr>
          <w:rFonts w:ascii="Times New Roman" w:hAnsi="Times New Roman"/>
          <w:szCs w:val="24"/>
        </w:rPr>
      </w:pP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）磁片</w:t>
      </w:r>
      <w:r w:rsidRPr="00A44D82">
        <w:rPr>
          <w:rFonts w:ascii="Times New Roman" w:hAnsi="Times New Roman"/>
          <w:szCs w:val="24"/>
        </w:rPr>
        <w:t xml:space="preserve">   </w:t>
      </w:r>
      <w:r w:rsidRPr="00A44D82">
        <w:rPr>
          <w:rFonts w:ascii="Times New Roman" w:hAnsi="標楷體"/>
          <w:szCs w:val="24"/>
        </w:rPr>
        <w:t>（</w:t>
      </w:r>
      <w:r w:rsidRPr="00A44D82">
        <w:rPr>
          <w:rFonts w:ascii="Times New Roman" w:hAnsi="Times New Roman"/>
          <w:szCs w:val="24"/>
        </w:rPr>
        <w:t xml:space="preserve"> </w:t>
      </w:r>
      <w:r w:rsidRPr="00A44D82">
        <w:rPr>
          <w:rFonts w:ascii="Times New Roman" w:hAnsi="標楷體"/>
          <w:szCs w:val="24"/>
        </w:rPr>
        <w:t>）光碟片</w:t>
      </w:r>
      <w:r w:rsidRPr="00A44D82">
        <w:rPr>
          <w:rFonts w:ascii="Times New Roman" w:hAnsi="Times New Roman"/>
          <w:szCs w:val="24"/>
        </w:rPr>
        <w:t xml:space="preserve">  </w:t>
      </w:r>
      <w:r w:rsidRPr="00A44D82">
        <w:rPr>
          <w:rFonts w:ascii="Times New Roman" w:hAnsi="標楷體"/>
          <w:szCs w:val="24"/>
        </w:rPr>
        <w:t>（</w:t>
      </w:r>
      <w:r w:rsidR="00A04B2E">
        <w:rPr>
          <w:rFonts w:ascii="Times New Roman" w:hAnsi="標楷體" w:hint="eastAsia"/>
          <w:szCs w:val="24"/>
        </w:rPr>
        <w:t xml:space="preserve"> </w:t>
      </w:r>
      <w:r w:rsidRPr="00A44D82">
        <w:rPr>
          <w:rFonts w:ascii="Times New Roman" w:hAnsi="標楷體"/>
          <w:szCs w:val="24"/>
        </w:rPr>
        <w:t>）其他：</w:t>
      </w:r>
      <w:r w:rsidR="00A04B2E" w:rsidRPr="00A44D82">
        <w:rPr>
          <w:rFonts w:ascii="Times New Roman" w:hAnsi="Times New Roman"/>
          <w:szCs w:val="24"/>
        </w:rPr>
        <w:t xml:space="preserve"> </w:t>
      </w:r>
    </w:p>
    <w:p w:rsidR="00B849DA" w:rsidRPr="00A44D82" w:rsidRDefault="00B849DA" w:rsidP="00B849DA">
      <w:pPr>
        <w:spacing w:before="240" w:line="360" w:lineRule="exact"/>
        <w:ind w:left="616" w:hanging="616"/>
        <w:jc w:val="both"/>
        <w:rPr>
          <w:rFonts w:ascii="Times New Roman" w:hAnsi="Times New Roman"/>
          <w:szCs w:val="24"/>
        </w:rPr>
      </w:pPr>
      <w:r w:rsidRPr="00A44D82">
        <w:rPr>
          <w:rFonts w:ascii="Times New Roman" w:hAnsi="標楷體"/>
          <w:szCs w:val="24"/>
        </w:rPr>
        <w:t>三、資料範圍、週期及時效</w:t>
      </w:r>
    </w:p>
    <w:p w:rsidR="00B849DA" w:rsidRPr="00A44D82" w:rsidRDefault="00B849DA" w:rsidP="00C83B00">
      <w:pPr>
        <w:spacing w:line="360" w:lineRule="exact"/>
        <w:ind w:leftChars="100" w:left="480" w:hangingChars="100" w:hanging="240"/>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統計地區範圍及對象：</w:t>
      </w:r>
      <w:proofErr w:type="gramStart"/>
      <w:r w:rsidR="00A04B2E">
        <w:rPr>
          <w:rFonts w:ascii="Times New Roman" w:hAnsi="標楷體" w:hint="eastAsia"/>
          <w:szCs w:val="24"/>
          <w:lang w:eastAsia="zh-HK"/>
        </w:rPr>
        <w:t>臺</w:t>
      </w:r>
      <w:proofErr w:type="gramEnd"/>
      <w:r w:rsidRPr="00A44D82">
        <w:rPr>
          <w:rFonts w:ascii="Times New Roman" w:hAnsi="標楷體"/>
          <w:szCs w:val="24"/>
        </w:rPr>
        <w:t>東縣政府</w:t>
      </w:r>
      <w:r w:rsidR="00BB229C" w:rsidRPr="00BB229C">
        <w:rPr>
          <w:rFonts w:ascii="Times New Roman" w:hAnsi="標楷體" w:hint="eastAsia"/>
          <w:szCs w:val="24"/>
        </w:rPr>
        <w:t>及其所屬有關醫療保健支出皆為統計對象</w:t>
      </w:r>
      <w:r w:rsidRPr="00A44D82">
        <w:rPr>
          <w:rFonts w:ascii="Times New Roman" w:hAnsi="標楷體"/>
          <w:szCs w:val="24"/>
        </w:rPr>
        <w:t>。</w:t>
      </w:r>
    </w:p>
    <w:p w:rsidR="00B849DA" w:rsidRPr="00C83B00" w:rsidRDefault="00B849DA" w:rsidP="00C83B00">
      <w:pPr>
        <w:spacing w:line="360" w:lineRule="exact"/>
        <w:ind w:leftChars="100" w:left="480" w:hangingChars="100" w:hanging="240"/>
        <w:jc w:val="both"/>
        <w:rPr>
          <w:rFonts w:ascii="Times New Roman" w:hAnsi="標楷體"/>
          <w:szCs w:val="24"/>
        </w:rPr>
      </w:pPr>
      <w:proofErr w:type="gramStart"/>
      <w:r w:rsidRPr="00A44D82">
        <w:rPr>
          <w:rFonts w:ascii="Times New Roman" w:hAnsi="標楷體"/>
          <w:szCs w:val="24"/>
        </w:rPr>
        <w:t>＊</w:t>
      </w:r>
      <w:proofErr w:type="gramEnd"/>
      <w:r w:rsidRPr="00A44D82">
        <w:rPr>
          <w:rFonts w:ascii="Times New Roman" w:hAnsi="標楷體"/>
          <w:szCs w:val="24"/>
        </w:rPr>
        <w:t>統計標準時間：以會計年度為</w:t>
      </w:r>
      <w:proofErr w:type="gramStart"/>
      <w:r w:rsidRPr="00A44D82">
        <w:rPr>
          <w:rFonts w:ascii="Times New Roman" w:hAnsi="標楷體"/>
          <w:szCs w:val="24"/>
        </w:rPr>
        <w:t>準</w:t>
      </w:r>
      <w:proofErr w:type="gramEnd"/>
      <w:r w:rsidRPr="00A44D82">
        <w:rPr>
          <w:rFonts w:ascii="Times New Roman" w:hAnsi="標楷體"/>
          <w:szCs w:val="24"/>
        </w:rPr>
        <w:t>。</w:t>
      </w:r>
    </w:p>
    <w:p w:rsidR="00B849DA" w:rsidRDefault="00B849DA" w:rsidP="00C83B00">
      <w:pPr>
        <w:spacing w:line="360" w:lineRule="exact"/>
        <w:ind w:leftChars="100" w:left="480" w:hangingChars="100" w:hanging="240"/>
        <w:jc w:val="both"/>
        <w:rPr>
          <w:rFonts w:ascii="Times New Roman" w:hAnsi="標楷體"/>
          <w:szCs w:val="24"/>
        </w:rPr>
      </w:pPr>
      <w:proofErr w:type="gramStart"/>
      <w:r w:rsidRPr="00A44D82">
        <w:rPr>
          <w:rFonts w:ascii="Times New Roman" w:hAnsi="標楷體"/>
          <w:szCs w:val="24"/>
        </w:rPr>
        <w:t>＊</w:t>
      </w:r>
      <w:proofErr w:type="gramEnd"/>
      <w:r w:rsidRPr="00A44D82">
        <w:rPr>
          <w:rFonts w:ascii="Times New Roman" w:hAnsi="標楷體"/>
          <w:szCs w:val="24"/>
        </w:rPr>
        <w:t>統計項目定義：</w:t>
      </w:r>
    </w:p>
    <w:p w:rsidR="00814624" w:rsidRDefault="00814624" w:rsidP="00814624">
      <w:pPr>
        <w:pStyle w:val="a3"/>
        <w:numPr>
          <w:ilvl w:val="0"/>
          <w:numId w:val="4"/>
        </w:numPr>
        <w:tabs>
          <w:tab w:val="left" w:pos="966"/>
        </w:tabs>
        <w:spacing w:line="360" w:lineRule="exact"/>
        <w:ind w:leftChars="0" w:left="805" w:hanging="567"/>
        <w:jc w:val="both"/>
        <w:rPr>
          <w:rFonts w:ascii="Times New Roman" w:hAnsi="Times New Roman"/>
          <w:szCs w:val="24"/>
        </w:rPr>
      </w:pPr>
      <w:r w:rsidRPr="00814624">
        <w:rPr>
          <w:rFonts w:ascii="Times New Roman" w:hAnsi="Times New Roman" w:hint="eastAsia"/>
          <w:szCs w:val="24"/>
        </w:rPr>
        <w:t>依審定後之決算數</w:t>
      </w:r>
      <w:proofErr w:type="gramStart"/>
      <w:r w:rsidRPr="00814624">
        <w:rPr>
          <w:rFonts w:ascii="Times New Roman" w:hAnsi="Times New Roman" w:hint="eastAsia"/>
          <w:szCs w:val="24"/>
        </w:rPr>
        <w:t>確實編報</w:t>
      </w:r>
      <w:proofErr w:type="gramEnd"/>
      <w:r w:rsidRPr="00814624">
        <w:rPr>
          <w:rFonts w:ascii="Times New Roman" w:hAnsi="Times New Roman" w:hint="eastAsia"/>
          <w:szCs w:val="24"/>
        </w:rPr>
        <w:t>。</w:t>
      </w:r>
    </w:p>
    <w:p w:rsidR="00B16235" w:rsidRDefault="00B16235" w:rsidP="00B16235">
      <w:pPr>
        <w:pStyle w:val="a3"/>
        <w:numPr>
          <w:ilvl w:val="0"/>
          <w:numId w:val="4"/>
        </w:numPr>
        <w:tabs>
          <w:tab w:val="left" w:pos="966"/>
        </w:tabs>
        <w:spacing w:line="360" w:lineRule="exact"/>
        <w:ind w:leftChars="0" w:left="805" w:hanging="567"/>
        <w:jc w:val="both"/>
        <w:rPr>
          <w:rFonts w:ascii="Times New Roman" w:hAnsi="Times New Roman"/>
          <w:szCs w:val="24"/>
        </w:rPr>
      </w:pPr>
      <w:r>
        <w:rPr>
          <w:rFonts w:ascii="Times New Roman" w:hAnsi="Times New Roman" w:hint="eastAsia"/>
          <w:szCs w:val="24"/>
        </w:rPr>
        <w:t>本府經費：醫療保健經費來源為</w:t>
      </w:r>
      <w:proofErr w:type="gramStart"/>
      <w:r>
        <w:rPr>
          <w:rFonts w:ascii="Times New Roman" w:hAnsi="Times New Roman" w:hint="eastAsia"/>
          <w:szCs w:val="24"/>
        </w:rPr>
        <w:t>臺</w:t>
      </w:r>
      <w:proofErr w:type="gramEnd"/>
      <w:r>
        <w:rPr>
          <w:rFonts w:ascii="Times New Roman" w:hAnsi="Times New Roman" w:hint="eastAsia"/>
          <w:szCs w:val="24"/>
        </w:rPr>
        <w:t>東縣政</w:t>
      </w:r>
      <w:r w:rsidRPr="00B16235">
        <w:rPr>
          <w:rFonts w:ascii="Times New Roman" w:hAnsi="Times New Roman" w:hint="eastAsia"/>
          <w:szCs w:val="24"/>
        </w:rPr>
        <w:t>府經費。</w:t>
      </w:r>
    </w:p>
    <w:p w:rsidR="00B16235" w:rsidRDefault="00B16235" w:rsidP="00B16235">
      <w:pPr>
        <w:pStyle w:val="a3"/>
        <w:numPr>
          <w:ilvl w:val="0"/>
          <w:numId w:val="4"/>
        </w:numPr>
        <w:tabs>
          <w:tab w:val="left" w:pos="966"/>
        </w:tabs>
        <w:spacing w:line="360" w:lineRule="exact"/>
        <w:ind w:leftChars="0" w:left="805" w:hanging="567"/>
        <w:jc w:val="both"/>
        <w:rPr>
          <w:rFonts w:ascii="Times New Roman" w:hAnsi="Times New Roman"/>
          <w:szCs w:val="24"/>
        </w:rPr>
      </w:pPr>
      <w:r w:rsidRPr="00B16235">
        <w:rPr>
          <w:rFonts w:ascii="Times New Roman" w:hAnsi="Times New Roman" w:hint="eastAsia"/>
          <w:szCs w:val="24"/>
        </w:rPr>
        <w:t>中央或上級政府補助款：醫療保健經費來源為中央或上級政府補助款。</w:t>
      </w:r>
    </w:p>
    <w:p w:rsidR="00B16235" w:rsidRDefault="00B16235" w:rsidP="00B16235">
      <w:pPr>
        <w:pStyle w:val="a3"/>
        <w:numPr>
          <w:ilvl w:val="0"/>
          <w:numId w:val="4"/>
        </w:numPr>
        <w:tabs>
          <w:tab w:val="left" w:pos="966"/>
        </w:tabs>
        <w:spacing w:line="360" w:lineRule="exact"/>
        <w:ind w:leftChars="0" w:left="805" w:hanging="567"/>
        <w:jc w:val="both"/>
        <w:rPr>
          <w:rFonts w:ascii="Times New Roman" w:hAnsi="Times New Roman"/>
          <w:szCs w:val="24"/>
        </w:rPr>
      </w:pPr>
      <w:r w:rsidRPr="00B16235">
        <w:rPr>
          <w:rFonts w:ascii="Times New Roman" w:hAnsi="Times New Roman" w:hint="eastAsia"/>
          <w:szCs w:val="24"/>
        </w:rPr>
        <w:t>用途別</w:t>
      </w:r>
      <w:r w:rsidRPr="00B16235">
        <w:rPr>
          <w:rFonts w:ascii="Times New Roman" w:hAnsi="Times New Roman" w:hint="eastAsia"/>
          <w:szCs w:val="24"/>
        </w:rPr>
        <w:t>(</w:t>
      </w:r>
      <w:r w:rsidRPr="00B16235">
        <w:rPr>
          <w:rFonts w:ascii="Times New Roman" w:hAnsi="Times New Roman" w:hint="eastAsia"/>
          <w:szCs w:val="24"/>
        </w:rPr>
        <w:t>含中央或上級政府補助款</w:t>
      </w:r>
      <w:r w:rsidRPr="00B16235">
        <w:rPr>
          <w:rFonts w:ascii="Times New Roman" w:hAnsi="Times New Roman" w:hint="eastAsia"/>
          <w:szCs w:val="24"/>
        </w:rPr>
        <w:t>)</w:t>
      </w:r>
      <w:r w:rsidRPr="00B16235">
        <w:rPr>
          <w:rFonts w:ascii="Times New Roman" w:hAnsi="Times New Roman" w:hint="eastAsia"/>
          <w:szCs w:val="24"/>
        </w:rPr>
        <w:t>，分為：</w:t>
      </w:r>
    </w:p>
    <w:p w:rsidR="009B77F4" w:rsidRPr="009B77F4" w:rsidRDefault="009B77F4" w:rsidP="009B77F4">
      <w:pPr>
        <w:spacing w:line="360" w:lineRule="exact"/>
        <w:ind w:left="805"/>
        <w:jc w:val="both"/>
        <w:rPr>
          <w:rFonts w:ascii="Times New Roman" w:hAnsi="Times New Roman"/>
          <w:szCs w:val="24"/>
        </w:rPr>
      </w:pPr>
      <w:r w:rsidRPr="009B77F4">
        <w:rPr>
          <w:rFonts w:ascii="Times New Roman" w:hAnsi="Times New Roman" w:hint="eastAsia"/>
          <w:szCs w:val="24"/>
        </w:rPr>
        <w:t>(1)</w:t>
      </w:r>
      <w:r w:rsidRPr="009B77F4">
        <w:rPr>
          <w:rFonts w:ascii="Times New Roman" w:hAnsi="Times New Roman" w:hint="eastAsia"/>
          <w:szCs w:val="24"/>
        </w:rPr>
        <w:t>一般行政：員工薪資福利、內部行政支援單位所需工作經費、辦理一般事務所需各項設備經費及無法劃歸各特定業務計畫科目項下之一般共同性費用等。</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sidRPr="009B77F4">
        <w:rPr>
          <w:rFonts w:ascii="Times New Roman" w:hAnsi="Times New Roman" w:hint="eastAsia"/>
          <w:szCs w:val="24"/>
        </w:rPr>
        <w:tab/>
      </w:r>
    </w:p>
    <w:p w:rsidR="009B77F4" w:rsidRPr="009B77F4" w:rsidRDefault="009B77F4" w:rsidP="009B77F4">
      <w:pPr>
        <w:spacing w:line="360" w:lineRule="exact"/>
        <w:ind w:left="805" w:firstLine="35"/>
        <w:jc w:val="both"/>
        <w:rPr>
          <w:rFonts w:ascii="Times New Roman" w:hAnsi="Times New Roman"/>
          <w:szCs w:val="24"/>
        </w:rPr>
      </w:pPr>
      <w:r w:rsidRPr="009B77F4">
        <w:rPr>
          <w:rFonts w:ascii="Times New Roman" w:hAnsi="Times New Roman" w:hint="eastAsia"/>
          <w:szCs w:val="24"/>
        </w:rPr>
        <w:t>(2)</w:t>
      </w:r>
      <w:r w:rsidRPr="009B77F4">
        <w:rPr>
          <w:rFonts w:ascii="Times New Roman" w:hAnsi="Times New Roman" w:hint="eastAsia"/>
          <w:szCs w:val="24"/>
        </w:rPr>
        <w:t>公共衛生：含疾病管制</w:t>
      </w:r>
      <w:r w:rsidRPr="009B77F4">
        <w:rPr>
          <w:rFonts w:ascii="Times New Roman" w:hAnsi="Times New Roman" w:hint="eastAsia"/>
          <w:szCs w:val="24"/>
        </w:rPr>
        <w:t>(</w:t>
      </w:r>
      <w:r w:rsidRPr="009B77F4">
        <w:rPr>
          <w:rFonts w:ascii="Times New Roman" w:hAnsi="Times New Roman" w:hint="eastAsia"/>
          <w:szCs w:val="24"/>
        </w:rPr>
        <w:t>傳染病防治、預防接種業務、營業場所衛生管理及感染管制工作等</w:t>
      </w:r>
      <w:r w:rsidRPr="009B77F4">
        <w:rPr>
          <w:rFonts w:ascii="Times New Roman" w:hAnsi="Times New Roman" w:hint="eastAsia"/>
          <w:szCs w:val="24"/>
        </w:rPr>
        <w:t>)</w:t>
      </w:r>
      <w:r w:rsidRPr="009B77F4">
        <w:rPr>
          <w:rFonts w:ascii="Times New Roman" w:hAnsi="Times New Roman" w:hint="eastAsia"/>
          <w:szCs w:val="24"/>
        </w:rPr>
        <w:t>、</w:t>
      </w:r>
      <w:proofErr w:type="gramStart"/>
      <w:r w:rsidRPr="009B77F4">
        <w:rPr>
          <w:rFonts w:ascii="Times New Roman" w:hAnsi="Times New Roman" w:hint="eastAsia"/>
          <w:szCs w:val="24"/>
        </w:rPr>
        <w:t>醫</w:t>
      </w:r>
      <w:proofErr w:type="gramEnd"/>
      <w:r w:rsidRPr="009B77F4">
        <w:rPr>
          <w:rFonts w:ascii="Times New Roman" w:hAnsi="Times New Roman" w:hint="eastAsia"/>
          <w:szCs w:val="24"/>
        </w:rPr>
        <w:t>事</w:t>
      </w:r>
      <w:r w:rsidRPr="009B77F4">
        <w:rPr>
          <w:rFonts w:ascii="Times New Roman" w:hAnsi="Times New Roman" w:hint="eastAsia"/>
          <w:szCs w:val="24"/>
        </w:rPr>
        <w:t>(</w:t>
      </w:r>
      <w:r w:rsidRPr="009B77F4">
        <w:rPr>
          <w:rFonts w:ascii="Times New Roman" w:hAnsi="Times New Roman" w:hint="eastAsia"/>
          <w:szCs w:val="24"/>
        </w:rPr>
        <w:t>政</w:t>
      </w:r>
      <w:r w:rsidRPr="009B77F4">
        <w:rPr>
          <w:rFonts w:ascii="Times New Roman" w:hAnsi="Times New Roman" w:hint="eastAsia"/>
          <w:szCs w:val="24"/>
        </w:rPr>
        <w:t>)</w:t>
      </w:r>
      <w:r w:rsidRPr="009B77F4">
        <w:rPr>
          <w:rFonts w:ascii="Times New Roman" w:hAnsi="Times New Roman" w:hint="eastAsia"/>
          <w:szCs w:val="24"/>
        </w:rPr>
        <w:t>管理</w:t>
      </w:r>
      <w:r w:rsidRPr="009B77F4">
        <w:rPr>
          <w:rFonts w:ascii="Times New Roman" w:hAnsi="Times New Roman" w:hint="eastAsia"/>
          <w:szCs w:val="24"/>
        </w:rPr>
        <w:t>(</w:t>
      </w:r>
      <w:r w:rsidRPr="009B77F4">
        <w:rPr>
          <w:rFonts w:ascii="Times New Roman" w:hAnsi="Times New Roman" w:hint="eastAsia"/>
          <w:szCs w:val="24"/>
        </w:rPr>
        <w:t>醫療機構管理、衛生動員事項、</w:t>
      </w:r>
      <w:proofErr w:type="gramStart"/>
      <w:r w:rsidRPr="009B77F4">
        <w:rPr>
          <w:rFonts w:ascii="Times New Roman" w:hAnsi="Times New Roman" w:hint="eastAsia"/>
          <w:szCs w:val="24"/>
        </w:rPr>
        <w:t>重大災病之</w:t>
      </w:r>
      <w:proofErr w:type="gramEnd"/>
      <w:r w:rsidRPr="009B77F4">
        <w:rPr>
          <w:rFonts w:ascii="Times New Roman" w:hAnsi="Times New Roman" w:hint="eastAsia"/>
          <w:szCs w:val="24"/>
        </w:rPr>
        <w:t>醫療救護、緊急醫療救護等</w:t>
      </w:r>
      <w:r w:rsidRPr="009B77F4">
        <w:rPr>
          <w:rFonts w:ascii="Times New Roman" w:hAnsi="Times New Roman" w:hint="eastAsia"/>
          <w:szCs w:val="24"/>
        </w:rPr>
        <w:t>)</w:t>
      </w:r>
      <w:r w:rsidRPr="009B77F4">
        <w:rPr>
          <w:rFonts w:ascii="Times New Roman" w:hAnsi="Times New Roman" w:hint="eastAsia"/>
          <w:szCs w:val="24"/>
        </w:rPr>
        <w:t>、食品藥物</w:t>
      </w:r>
      <w:r w:rsidRPr="009B77F4">
        <w:rPr>
          <w:rFonts w:ascii="Times New Roman" w:hAnsi="Times New Roman" w:hint="eastAsia"/>
          <w:szCs w:val="24"/>
        </w:rPr>
        <w:t>(</w:t>
      </w:r>
      <w:r w:rsidRPr="009B77F4">
        <w:rPr>
          <w:rFonts w:ascii="Times New Roman" w:hAnsi="Times New Roman" w:hint="eastAsia"/>
          <w:szCs w:val="24"/>
        </w:rPr>
        <w:t>食品衛生管理、藥物及化妝品管理等</w:t>
      </w:r>
      <w:r w:rsidRPr="009B77F4">
        <w:rPr>
          <w:rFonts w:ascii="Times New Roman" w:hAnsi="Times New Roman" w:hint="eastAsia"/>
          <w:szCs w:val="24"/>
        </w:rPr>
        <w:t>)</w:t>
      </w:r>
      <w:r w:rsidRPr="009B77F4">
        <w:rPr>
          <w:rFonts w:ascii="Times New Roman" w:hAnsi="Times New Roman" w:hint="eastAsia"/>
          <w:szCs w:val="24"/>
        </w:rPr>
        <w:t>、衛生保健及健康促進</w:t>
      </w:r>
      <w:r w:rsidRPr="009B77F4">
        <w:rPr>
          <w:rFonts w:ascii="Times New Roman" w:hAnsi="Times New Roman" w:hint="eastAsia"/>
          <w:szCs w:val="24"/>
        </w:rPr>
        <w:t>(</w:t>
      </w:r>
      <w:r w:rsidRPr="009B77F4">
        <w:rPr>
          <w:rFonts w:ascii="Times New Roman" w:hAnsi="Times New Roman" w:hint="eastAsia"/>
          <w:szCs w:val="24"/>
        </w:rPr>
        <w:t>健康促進、健康管理、</w:t>
      </w:r>
      <w:proofErr w:type="gramStart"/>
      <w:r w:rsidRPr="009B77F4">
        <w:rPr>
          <w:rFonts w:ascii="Times New Roman" w:hAnsi="Times New Roman" w:hint="eastAsia"/>
          <w:szCs w:val="24"/>
        </w:rPr>
        <w:t>菸</w:t>
      </w:r>
      <w:proofErr w:type="gramEnd"/>
      <w:r w:rsidRPr="009B77F4">
        <w:rPr>
          <w:rFonts w:ascii="Times New Roman" w:hAnsi="Times New Roman" w:hint="eastAsia"/>
          <w:szCs w:val="24"/>
        </w:rPr>
        <w:t>害防治、慢性病防治、兒童保健及生育保健等</w:t>
      </w:r>
      <w:r w:rsidRPr="009B77F4">
        <w:rPr>
          <w:rFonts w:ascii="Times New Roman" w:hAnsi="Times New Roman" w:hint="eastAsia"/>
          <w:szCs w:val="24"/>
        </w:rPr>
        <w:t>)</w:t>
      </w:r>
      <w:r w:rsidRPr="009B77F4">
        <w:rPr>
          <w:rFonts w:ascii="Times New Roman" w:hAnsi="Times New Roman" w:hint="eastAsia"/>
          <w:szCs w:val="24"/>
        </w:rPr>
        <w:t>、衛生企劃</w:t>
      </w:r>
      <w:r w:rsidRPr="009B77F4">
        <w:rPr>
          <w:rFonts w:ascii="Times New Roman" w:hAnsi="Times New Roman" w:hint="eastAsia"/>
          <w:szCs w:val="24"/>
        </w:rPr>
        <w:t>(</w:t>
      </w:r>
      <w:r w:rsidRPr="009B77F4">
        <w:rPr>
          <w:rFonts w:ascii="Times New Roman" w:hAnsi="Times New Roman" w:hint="eastAsia"/>
          <w:szCs w:val="24"/>
        </w:rPr>
        <w:t>衛生業務研究發展、宣導、國際衛生交流、公共關係及計畫管考等</w:t>
      </w:r>
      <w:r w:rsidRPr="009B77F4">
        <w:rPr>
          <w:rFonts w:ascii="Times New Roman" w:hAnsi="Times New Roman" w:hint="eastAsia"/>
          <w:szCs w:val="24"/>
        </w:rPr>
        <w:t>)</w:t>
      </w:r>
      <w:r w:rsidRPr="009B77F4">
        <w:rPr>
          <w:rFonts w:ascii="Times New Roman" w:hAnsi="Times New Roman" w:hint="eastAsia"/>
          <w:szCs w:val="24"/>
        </w:rPr>
        <w:t>、衛生檢驗</w:t>
      </w:r>
      <w:r w:rsidRPr="009B77F4">
        <w:rPr>
          <w:rFonts w:ascii="Times New Roman" w:hAnsi="Times New Roman" w:hint="eastAsia"/>
          <w:szCs w:val="24"/>
        </w:rPr>
        <w:t>(</w:t>
      </w:r>
      <w:r w:rsidRPr="009B77F4">
        <w:rPr>
          <w:rFonts w:ascii="Times New Roman" w:hAnsi="Times New Roman" w:hint="eastAsia"/>
          <w:szCs w:val="24"/>
        </w:rPr>
        <w:t>食品衛生檢驗、營業衛生水質檢驗、中藥藥劑及化妝品檢驗等</w:t>
      </w:r>
      <w:r w:rsidRPr="009B77F4">
        <w:rPr>
          <w:rFonts w:ascii="Times New Roman" w:hAnsi="Times New Roman" w:hint="eastAsia"/>
          <w:szCs w:val="24"/>
        </w:rPr>
        <w:t>)</w:t>
      </w:r>
      <w:r w:rsidRPr="009B77F4">
        <w:rPr>
          <w:rFonts w:ascii="Times New Roman" w:hAnsi="Times New Roman" w:hint="eastAsia"/>
          <w:szCs w:val="24"/>
        </w:rPr>
        <w:t>、衛生稽查</w:t>
      </w:r>
      <w:r w:rsidRPr="009B77F4">
        <w:rPr>
          <w:rFonts w:ascii="Times New Roman" w:hAnsi="Times New Roman" w:hint="eastAsia"/>
          <w:szCs w:val="24"/>
        </w:rPr>
        <w:t>(</w:t>
      </w:r>
      <w:r w:rsidRPr="009B77F4">
        <w:rPr>
          <w:rFonts w:ascii="Times New Roman" w:hAnsi="Times New Roman" w:hint="eastAsia"/>
          <w:szCs w:val="24"/>
        </w:rPr>
        <w:t>執行食品衛生、藥物、化</w:t>
      </w:r>
      <w:proofErr w:type="gramStart"/>
      <w:r w:rsidRPr="009B77F4">
        <w:rPr>
          <w:rFonts w:ascii="Times New Roman" w:hAnsi="Times New Roman" w:hint="eastAsia"/>
          <w:szCs w:val="24"/>
        </w:rPr>
        <w:t>粧</w:t>
      </w:r>
      <w:proofErr w:type="gramEnd"/>
      <w:r w:rsidRPr="009B77F4">
        <w:rPr>
          <w:rFonts w:ascii="Times New Roman" w:hAnsi="Times New Roman" w:hint="eastAsia"/>
          <w:szCs w:val="24"/>
        </w:rPr>
        <w:t>品、營業衛生及</w:t>
      </w:r>
      <w:proofErr w:type="gramStart"/>
      <w:r w:rsidRPr="009B77F4">
        <w:rPr>
          <w:rFonts w:ascii="Times New Roman" w:hAnsi="Times New Roman" w:hint="eastAsia"/>
          <w:szCs w:val="24"/>
        </w:rPr>
        <w:t>菸</w:t>
      </w:r>
      <w:proofErr w:type="gramEnd"/>
      <w:r w:rsidRPr="009B77F4">
        <w:rPr>
          <w:rFonts w:ascii="Times New Roman" w:hAnsi="Times New Roman" w:hint="eastAsia"/>
          <w:szCs w:val="24"/>
        </w:rPr>
        <w:t>害防制稽查等</w:t>
      </w:r>
      <w:r w:rsidRPr="009B77F4">
        <w:rPr>
          <w:rFonts w:ascii="Times New Roman" w:hAnsi="Times New Roman" w:hint="eastAsia"/>
          <w:szCs w:val="24"/>
        </w:rPr>
        <w:t>)</w:t>
      </w:r>
      <w:r w:rsidRPr="009B77F4">
        <w:rPr>
          <w:rFonts w:ascii="Times New Roman" w:hAnsi="Times New Roman" w:hint="eastAsia"/>
          <w:szCs w:val="24"/>
        </w:rPr>
        <w:t>、心理衛生</w:t>
      </w:r>
      <w:r w:rsidRPr="009B77F4">
        <w:rPr>
          <w:rFonts w:ascii="Times New Roman" w:hAnsi="Times New Roman" w:hint="eastAsia"/>
          <w:szCs w:val="24"/>
        </w:rPr>
        <w:t>(</w:t>
      </w:r>
      <w:r w:rsidRPr="009B77F4">
        <w:rPr>
          <w:rFonts w:ascii="Times New Roman" w:hAnsi="Times New Roman" w:hint="eastAsia"/>
          <w:szCs w:val="24"/>
        </w:rPr>
        <w:t>精神、心理衛生計畫、毒品危害防制、</w:t>
      </w:r>
      <w:proofErr w:type="gramStart"/>
      <w:r w:rsidRPr="009B77F4">
        <w:rPr>
          <w:rFonts w:ascii="Times New Roman" w:hAnsi="Times New Roman" w:hint="eastAsia"/>
          <w:szCs w:val="24"/>
        </w:rPr>
        <w:t>藥癮及酒癮</w:t>
      </w:r>
      <w:proofErr w:type="gramEnd"/>
      <w:r w:rsidRPr="009B77F4">
        <w:rPr>
          <w:rFonts w:ascii="Times New Roman" w:hAnsi="Times New Roman" w:hint="eastAsia"/>
          <w:szCs w:val="24"/>
        </w:rPr>
        <w:t>戒治、家暴、性侵害及自殺防治等</w:t>
      </w:r>
      <w:r w:rsidRPr="009B77F4">
        <w:rPr>
          <w:rFonts w:ascii="Times New Roman" w:hAnsi="Times New Roman" w:hint="eastAsia"/>
          <w:szCs w:val="24"/>
        </w:rPr>
        <w:t>)</w:t>
      </w:r>
      <w:r w:rsidRPr="009B77F4">
        <w:rPr>
          <w:rFonts w:ascii="Times New Roman" w:hAnsi="Times New Roman" w:hint="eastAsia"/>
          <w:szCs w:val="24"/>
        </w:rPr>
        <w:t>等之經費。</w:t>
      </w:r>
    </w:p>
    <w:p w:rsidR="009B77F4" w:rsidRPr="009B77F4" w:rsidRDefault="009B77F4" w:rsidP="009B77F4">
      <w:pPr>
        <w:spacing w:line="360" w:lineRule="exact"/>
        <w:ind w:left="840"/>
        <w:jc w:val="both"/>
        <w:rPr>
          <w:rFonts w:ascii="Times New Roman" w:hAnsi="Times New Roman"/>
          <w:szCs w:val="24"/>
        </w:rPr>
      </w:pPr>
      <w:r w:rsidRPr="009B77F4">
        <w:rPr>
          <w:rFonts w:ascii="Times New Roman" w:hAnsi="Times New Roman" w:hint="eastAsia"/>
          <w:szCs w:val="24"/>
        </w:rPr>
        <w:t>(3)</w:t>
      </w:r>
      <w:r w:rsidRPr="009B77F4">
        <w:rPr>
          <w:rFonts w:ascii="Times New Roman" w:hAnsi="Times New Roman" w:hint="eastAsia"/>
          <w:szCs w:val="24"/>
        </w:rPr>
        <w:t>長期照顧：長期照顧機構及護理機構輔導及管理、長期照護業務推展及辦理長期照護服務等業務之經費。</w:t>
      </w:r>
      <w:r w:rsidRPr="009B77F4">
        <w:rPr>
          <w:rFonts w:ascii="Times New Roman" w:hAnsi="Times New Roman"/>
          <w:szCs w:val="24"/>
        </w:rPr>
        <w:t xml:space="preserve"> </w:t>
      </w:r>
    </w:p>
    <w:p w:rsidR="009B77F4" w:rsidRDefault="009B77F4" w:rsidP="009B77F4">
      <w:pPr>
        <w:spacing w:line="360" w:lineRule="exact"/>
        <w:ind w:left="480" w:firstLine="360"/>
        <w:jc w:val="both"/>
        <w:rPr>
          <w:rFonts w:ascii="Times New Roman" w:hAnsi="Times New Roman"/>
          <w:szCs w:val="24"/>
        </w:rPr>
      </w:pPr>
      <w:r w:rsidRPr="009B77F4">
        <w:rPr>
          <w:rFonts w:ascii="Times New Roman" w:hAnsi="Times New Roman" w:hint="eastAsia"/>
          <w:szCs w:val="24"/>
        </w:rPr>
        <w:t>(4)</w:t>
      </w:r>
      <w:r w:rsidRPr="009B77F4">
        <w:rPr>
          <w:rFonts w:ascii="Times New Roman" w:hAnsi="Times New Roman" w:hint="eastAsia"/>
          <w:szCs w:val="24"/>
        </w:rPr>
        <w:t>統籌科目：係指衛生局及所屬之公教、衛生人員各項補助款、撫卹金、退休金等。</w:t>
      </w:r>
    </w:p>
    <w:p w:rsidR="009B77F4" w:rsidRPr="009B77F4" w:rsidRDefault="009B77F4" w:rsidP="009B77F4">
      <w:pPr>
        <w:spacing w:line="360" w:lineRule="exact"/>
        <w:ind w:left="480" w:firstLine="360"/>
        <w:jc w:val="both"/>
        <w:rPr>
          <w:rFonts w:ascii="Times New Roman" w:hAnsi="Times New Roman"/>
          <w:szCs w:val="24"/>
        </w:rPr>
      </w:pPr>
      <w:r w:rsidRPr="009B77F4">
        <w:rPr>
          <w:rFonts w:ascii="Times New Roman" w:hAnsi="Times New Roman" w:hint="eastAsia"/>
          <w:szCs w:val="24"/>
        </w:rPr>
        <w:t>(5)</w:t>
      </w:r>
      <w:r w:rsidRPr="009B77F4">
        <w:rPr>
          <w:rFonts w:ascii="Times New Roman" w:hAnsi="Times New Roman" w:hint="eastAsia"/>
          <w:szCs w:val="24"/>
        </w:rPr>
        <w:t>其他：經常門無法歸於上列</w:t>
      </w:r>
      <w:r w:rsidRPr="009B77F4">
        <w:rPr>
          <w:rFonts w:ascii="Times New Roman" w:hAnsi="Times New Roman" w:hint="eastAsia"/>
          <w:szCs w:val="24"/>
        </w:rPr>
        <w:t>1~4</w:t>
      </w:r>
      <w:r w:rsidRPr="009B77F4">
        <w:rPr>
          <w:rFonts w:ascii="Times New Roman" w:hAnsi="Times New Roman" w:hint="eastAsia"/>
          <w:szCs w:val="24"/>
        </w:rPr>
        <w:t>項之經費，如社會福利支出中醫療保健相關之經費。</w:t>
      </w:r>
      <w:r w:rsidRPr="009B77F4">
        <w:rPr>
          <w:rFonts w:ascii="Times New Roman" w:hAnsi="Times New Roman" w:hint="eastAsia"/>
          <w:szCs w:val="24"/>
        </w:rPr>
        <w:tab/>
      </w:r>
      <w:r w:rsidRPr="009B77F4">
        <w:rPr>
          <w:rFonts w:ascii="Times New Roman" w:hAnsi="Times New Roman" w:hint="eastAsia"/>
          <w:szCs w:val="24"/>
        </w:rPr>
        <w:tab/>
      </w:r>
    </w:p>
    <w:p w:rsidR="009B77F4" w:rsidRPr="009B77F4" w:rsidRDefault="009B77F4" w:rsidP="009B77F4">
      <w:pPr>
        <w:spacing w:line="360" w:lineRule="exact"/>
        <w:jc w:val="both"/>
        <w:rPr>
          <w:rFonts w:ascii="Times New Roman" w:hAnsi="Times New Roman"/>
          <w:szCs w:val="24"/>
        </w:rPr>
      </w:pPr>
      <w:r>
        <w:rPr>
          <w:rFonts w:ascii="Times New Roman" w:hAnsi="Times New Roman" w:hint="eastAsia"/>
          <w:szCs w:val="24"/>
        </w:rPr>
        <w:lastRenderedPageBreak/>
        <w:t xml:space="preserve"> </w:t>
      </w:r>
      <w:r w:rsidRPr="009B77F4">
        <w:rPr>
          <w:rFonts w:ascii="Times New Roman" w:hAnsi="Times New Roman" w:hint="eastAsia"/>
          <w:szCs w:val="24"/>
        </w:rPr>
        <w:t>(</w:t>
      </w:r>
      <w:r w:rsidRPr="009B77F4">
        <w:rPr>
          <w:rFonts w:ascii="Times New Roman" w:hAnsi="Times New Roman" w:hint="eastAsia"/>
          <w:szCs w:val="24"/>
        </w:rPr>
        <w:t>五</w:t>
      </w:r>
      <w:r w:rsidRPr="009B77F4">
        <w:rPr>
          <w:rFonts w:ascii="Times New Roman" w:hAnsi="Times New Roman" w:hint="eastAsia"/>
          <w:szCs w:val="24"/>
        </w:rPr>
        <w:t>)</w:t>
      </w:r>
      <w:r w:rsidRPr="009B77F4">
        <w:rPr>
          <w:rFonts w:ascii="Times New Roman" w:hAnsi="Times New Roman" w:hint="eastAsia"/>
          <w:szCs w:val="24"/>
        </w:rPr>
        <w:t>醫療保健相關作業基金：係指與醫療保健相關之作業基金。</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p>
    <w:p w:rsidR="009B77F4" w:rsidRDefault="009B77F4" w:rsidP="009B77F4">
      <w:pPr>
        <w:spacing w:line="360" w:lineRule="exact"/>
        <w:jc w:val="both"/>
        <w:rPr>
          <w:rFonts w:ascii="Times New Roman" w:hAnsi="Times New Roman"/>
          <w:szCs w:val="24"/>
        </w:rPr>
      </w:pPr>
      <w:r w:rsidRPr="009B77F4">
        <w:rPr>
          <w:rFonts w:ascii="Times New Roman" w:hAnsi="Times New Roman" w:hint="eastAsia"/>
          <w:szCs w:val="24"/>
        </w:rPr>
        <w:t xml:space="preserve"> (</w:t>
      </w:r>
      <w:r w:rsidRPr="009B77F4">
        <w:rPr>
          <w:rFonts w:ascii="Times New Roman" w:hAnsi="Times New Roman" w:hint="eastAsia"/>
          <w:szCs w:val="24"/>
        </w:rPr>
        <w:t>六</w:t>
      </w:r>
      <w:r w:rsidRPr="009B77F4">
        <w:rPr>
          <w:rFonts w:ascii="Times New Roman" w:hAnsi="Times New Roman" w:hint="eastAsia"/>
          <w:szCs w:val="24"/>
        </w:rPr>
        <w:t>)</w:t>
      </w:r>
      <w:r w:rsidRPr="009B77F4">
        <w:rPr>
          <w:rFonts w:ascii="Times New Roman" w:hAnsi="Times New Roman" w:hint="eastAsia"/>
          <w:szCs w:val="24"/>
        </w:rPr>
        <w:t>其他政府部門：係指本府其他局</w:t>
      </w:r>
      <w:r w:rsidRPr="009B77F4">
        <w:rPr>
          <w:rFonts w:ascii="Times New Roman" w:hAnsi="Times New Roman" w:hint="eastAsia"/>
          <w:szCs w:val="24"/>
        </w:rPr>
        <w:t>(</w:t>
      </w:r>
      <w:r w:rsidRPr="009B77F4">
        <w:rPr>
          <w:rFonts w:ascii="Times New Roman" w:hAnsi="Times New Roman" w:hint="eastAsia"/>
          <w:szCs w:val="24"/>
        </w:rPr>
        <w:t>處</w:t>
      </w:r>
      <w:r w:rsidRPr="009B77F4">
        <w:rPr>
          <w:rFonts w:ascii="Times New Roman" w:hAnsi="Times New Roman" w:hint="eastAsia"/>
          <w:szCs w:val="24"/>
        </w:rPr>
        <w:t>)</w:t>
      </w:r>
      <w:r w:rsidRPr="009B77F4">
        <w:rPr>
          <w:rFonts w:ascii="Times New Roman" w:hAnsi="Times New Roman" w:hint="eastAsia"/>
          <w:szCs w:val="24"/>
        </w:rPr>
        <w:t>或單位與醫療保健有關之支出，如社會局主管之安養院、育幼院醫療支出或與醫療有關之急難救助及補助等。</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ab/>
      </w:r>
    </w:p>
    <w:p w:rsidR="00B849DA" w:rsidRPr="00A44D82" w:rsidRDefault="009B77F4" w:rsidP="009B77F4">
      <w:pPr>
        <w:spacing w:line="360" w:lineRule="exact"/>
        <w:jc w:val="both"/>
        <w:rPr>
          <w:rFonts w:ascii="Times New Roman" w:hAnsi="Times New Roman"/>
          <w:szCs w:val="24"/>
        </w:rPr>
      </w:pPr>
      <w:r>
        <w:rPr>
          <w:rFonts w:ascii="Times New Roman" w:hAnsi="Times New Roman" w:hint="eastAsia"/>
          <w:szCs w:val="24"/>
        </w:rPr>
        <w:t xml:space="preserve">  </w:t>
      </w:r>
      <w:proofErr w:type="gramStart"/>
      <w:r w:rsidR="00B849DA" w:rsidRPr="00A44D82">
        <w:rPr>
          <w:rFonts w:ascii="Times New Roman" w:hAnsi="標楷體"/>
          <w:szCs w:val="24"/>
        </w:rPr>
        <w:t>＊</w:t>
      </w:r>
      <w:proofErr w:type="gramEnd"/>
      <w:r w:rsidR="00B849DA" w:rsidRPr="00A44D82">
        <w:rPr>
          <w:rFonts w:ascii="Times New Roman" w:hAnsi="標楷體"/>
          <w:szCs w:val="24"/>
        </w:rPr>
        <w:t>統計單位：新台幣千元</w:t>
      </w:r>
    </w:p>
    <w:p w:rsidR="00B849DA" w:rsidRPr="00A44D82" w:rsidRDefault="00B849DA" w:rsidP="00B849DA">
      <w:pPr>
        <w:spacing w:line="360" w:lineRule="exact"/>
        <w:ind w:left="532" w:hanging="280"/>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統計分類：</w:t>
      </w:r>
    </w:p>
    <w:p w:rsidR="00B849DA" w:rsidRPr="004B14F0" w:rsidRDefault="00B849DA" w:rsidP="00B16235">
      <w:pPr>
        <w:pStyle w:val="a3"/>
        <w:numPr>
          <w:ilvl w:val="0"/>
          <w:numId w:val="5"/>
        </w:numPr>
        <w:tabs>
          <w:tab w:val="left" w:pos="966"/>
        </w:tabs>
        <w:spacing w:line="360" w:lineRule="exact"/>
        <w:ind w:leftChars="0"/>
        <w:jc w:val="both"/>
        <w:rPr>
          <w:rFonts w:ascii="Times New Roman" w:hAnsi="Times New Roman"/>
          <w:szCs w:val="24"/>
        </w:rPr>
      </w:pPr>
      <w:proofErr w:type="gramStart"/>
      <w:r w:rsidRPr="004B14F0">
        <w:rPr>
          <w:rFonts w:ascii="Times New Roman" w:hAnsi="Times New Roman"/>
          <w:szCs w:val="24"/>
        </w:rPr>
        <w:t>縱</w:t>
      </w:r>
      <w:proofErr w:type="gramEnd"/>
      <w:r w:rsidRPr="004B14F0">
        <w:rPr>
          <w:rFonts w:ascii="Times New Roman" w:hAnsi="Times New Roman"/>
          <w:szCs w:val="24"/>
        </w:rPr>
        <w:t>項目：</w:t>
      </w:r>
      <w:r w:rsidR="00B16235" w:rsidRPr="00B16235">
        <w:rPr>
          <w:rFonts w:ascii="Times New Roman" w:hAnsi="Times New Roman" w:hint="eastAsia"/>
          <w:szCs w:val="24"/>
        </w:rPr>
        <w:t>依醫療保健相關公務支出及醫療保健相關作業基金分。其中醫療保健相關公務支出再依本府經費、中央或上級政府補助款、經常門及</w:t>
      </w:r>
      <w:proofErr w:type="gramStart"/>
      <w:r w:rsidR="00B16235" w:rsidRPr="00B16235">
        <w:rPr>
          <w:rFonts w:ascii="Times New Roman" w:hAnsi="Times New Roman" w:hint="eastAsia"/>
          <w:szCs w:val="24"/>
        </w:rPr>
        <w:t>資本門分</w:t>
      </w:r>
      <w:proofErr w:type="gramEnd"/>
      <w:r w:rsidR="00B16235" w:rsidRPr="00B16235">
        <w:rPr>
          <w:rFonts w:ascii="Times New Roman" w:hAnsi="Times New Roman" w:hint="eastAsia"/>
          <w:szCs w:val="24"/>
        </w:rPr>
        <w:t>。</w:t>
      </w:r>
    </w:p>
    <w:p w:rsidR="00B849DA" w:rsidRPr="004B14F0" w:rsidRDefault="00B849DA" w:rsidP="004B14F0">
      <w:pPr>
        <w:pStyle w:val="a3"/>
        <w:numPr>
          <w:ilvl w:val="0"/>
          <w:numId w:val="5"/>
        </w:numPr>
        <w:tabs>
          <w:tab w:val="left" w:pos="966"/>
        </w:tabs>
        <w:spacing w:line="360" w:lineRule="exact"/>
        <w:ind w:leftChars="0"/>
        <w:jc w:val="both"/>
        <w:rPr>
          <w:rFonts w:ascii="Times New Roman" w:hAnsi="Times New Roman"/>
          <w:szCs w:val="24"/>
        </w:rPr>
      </w:pPr>
      <w:r w:rsidRPr="004B14F0">
        <w:rPr>
          <w:rFonts w:ascii="Times New Roman" w:hAnsi="Times New Roman"/>
          <w:szCs w:val="24"/>
        </w:rPr>
        <w:t>橫項目：按機構別分類。</w:t>
      </w:r>
      <w:r w:rsidRPr="004B14F0">
        <w:rPr>
          <w:rFonts w:ascii="Times New Roman" w:hAnsi="Times New Roman"/>
          <w:szCs w:val="24"/>
        </w:rPr>
        <w:t xml:space="preserve"> </w:t>
      </w:r>
    </w:p>
    <w:p w:rsidR="00B849DA" w:rsidRPr="00A44D82" w:rsidRDefault="00B849DA" w:rsidP="00B849DA">
      <w:pPr>
        <w:spacing w:line="360" w:lineRule="exact"/>
        <w:ind w:firstLine="280"/>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發布週期（指資料編製或產生之頻率，如月、季、年等）：年</w:t>
      </w:r>
    </w:p>
    <w:p w:rsidR="00B849DA" w:rsidRPr="00A44D82" w:rsidRDefault="00B849DA" w:rsidP="00B849DA">
      <w:pPr>
        <w:spacing w:line="360" w:lineRule="exact"/>
        <w:ind w:firstLine="280"/>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時效（指統計標準時間至資料發布時間之間隔時間）：</w:t>
      </w:r>
      <w:r w:rsidR="007D41C9">
        <w:rPr>
          <w:rFonts w:ascii="Times New Roman" w:hAnsi="Times New Roman" w:hint="eastAsia"/>
          <w:color w:val="000000"/>
          <w:szCs w:val="24"/>
        </w:rPr>
        <w:t>7</w:t>
      </w:r>
      <w:r w:rsidRPr="00A44D82">
        <w:rPr>
          <w:rFonts w:ascii="Times New Roman" w:hAnsi="標楷體"/>
          <w:color w:val="000000"/>
          <w:szCs w:val="24"/>
        </w:rPr>
        <w:t>個月</w:t>
      </w:r>
      <w:r w:rsidR="004B14F0">
        <w:rPr>
          <w:rFonts w:ascii="Times New Roman" w:hAnsi="標楷體" w:hint="eastAsia"/>
          <w:color w:val="000000"/>
          <w:szCs w:val="24"/>
        </w:rPr>
        <w:t>又</w:t>
      </w:r>
      <w:r w:rsidR="00300721">
        <w:rPr>
          <w:rFonts w:ascii="Times New Roman" w:hAnsi="Times New Roman" w:hint="eastAsia"/>
          <w:color w:val="000000"/>
          <w:szCs w:val="24"/>
        </w:rPr>
        <w:t>2</w:t>
      </w:r>
      <w:r w:rsidR="00CD3D59">
        <w:rPr>
          <w:rFonts w:ascii="Times New Roman" w:hAnsi="Times New Roman" w:hint="eastAsia"/>
          <w:color w:val="000000"/>
          <w:szCs w:val="24"/>
        </w:rPr>
        <w:t>0</w:t>
      </w:r>
      <w:r w:rsidRPr="00A44D82">
        <w:rPr>
          <w:rFonts w:ascii="Times New Roman" w:hAnsi="標楷體"/>
          <w:color w:val="000000"/>
          <w:szCs w:val="24"/>
        </w:rPr>
        <w:t>日</w:t>
      </w:r>
    </w:p>
    <w:p w:rsidR="00B849DA" w:rsidRPr="00A44D82" w:rsidRDefault="00B849DA" w:rsidP="00B849DA">
      <w:pPr>
        <w:spacing w:line="360" w:lineRule="exact"/>
        <w:ind w:firstLine="280"/>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資料變革：無</w:t>
      </w:r>
    </w:p>
    <w:p w:rsidR="00B849DA" w:rsidRPr="00A44D82" w:rsidRDefault="00B849DA" w:rsidP="00B849DA">
      <w:pPr>
        <w:spacing w:before="240" w:line="360" w:lineRule="exact"/>
        <w:ind w:left="616" w:hanging="616"/>
        <w:jc w:val="both"/>
        <w:rPr>
          <w:rFonts w:ascii="Times New Roman" w:hAnsi="Times New Roman"/>
          <w:szCs w:val="24"/>
        </w:rPr>
      </w:pPr>
      <w:r w:rsidRPr="00A44D82">
        <w:rPr>
          <w:rFonts w:ascii="Times New Roman" w:hAnsi="標楷體"/>
          <w:szCs w:val="24"/>
        </w:rPr>
        <w:t>四、公開資料發布訊息</w:t>
      </w:r>
    </w:p>
    <w:p w:rsidR="00B849DA" w:rsidRPr="00A44D82" w:rsidRDefault="00B849DA" w:rsidP="00B849DA">
      <w:pPr>
        <w:spacing w:line="360" w:lineRule="exact"/>
        <w:ind w:left="560" w:hanging="308"/>
        <w:jc w:val="both"/>
        <w:rPr>
          <w:rFonts w:ascii="Times New Roman" w:hAnsi="Times New Roman"/>
          <w:szCs w:val="24"/>
        </w:rPr>
      </w:pPr>
      <w:r w:rsidRPr="00A44D82">
        <w:rPr>
          <w:rFonts w:ascii="Times New Roman" w:hAnsi="標楷體"/>
          <w:szCs w:val="24"/>
        </w:rPr>
        <w:t>＊預告發布日期（含預告方式及週期）：會計年度結束後</w:t>
      </w:r>
      <w:r w:rsidR="00300721">
        <w:rPr>
          <w:rFonts w:ascii="Times New Roman" w:hAnsi="標楷體" w:hint="eastAsia"/>
          <w:szCs w:val="24"/>
        </w:rPr>
        <w:t>8</w:t>
      </w:r>
      <w:r w:rsidR="00300721">
        <w:rPr>
          <w:rFonts w:ascii="Times New Roman" w:hAnsi="標楷體" w:hint="eastAsia"/>
          <w:szCs w:val="24"/>
        </w:rPr>
        <w:t>月</w:t>
      </w:r>
      <w:r w:rsidR="00300721">
        <w:rPr>
          <w:rFonts w:ascii="Times New Roman" w:hAnsi="標楷體" w:hint="eastAsia"/>
          <w:szCs w:val="24"/>
        </w:rPr>
        <w:t>2</w:t>
      </w:r>
      <w:r w:rsidR="00CD3D59">
        <w:rPr>
          <w:rFonts w:ascii="Times New Roman" w:hAnsi="標楷體" w:hint="eastAsia"/>
          <w:szCs w:val="24"/>
        </w:rPr>
        <w:t>0</w:t>
      </w:r>
      <w:bookmarkStart w:id="0" w:name="_GoBack"/>
      <w:bookmarkEnd w:id="0"/>
      <w:r w:rsidR="00300721">
        <w:rPr>
          <w:rFonts w:ascii="Times New Roman" w:hAnsi="標楷體" w:hint="eastAsia"/>
          <w:szCs w:val="24"/>
        </w:rPr>
        <w:t>日前</w:t>
      </w:r>
      <w:r w:rsidRPr="00A44D82">
        <w:rPr>
          <w:rFonts w:ascii="Times New Roman" w:hAnsi="標楷體"/>
          <w:szCs w:val="24"/>
        </w:rPr>
        <w:t>以公務統計報表發布</w:t>
      </w:r>
      <w:r w:rsidR="0076578D" w:rsidRPr="0076578D">
        <w:rPr>
          <w:rFonts w:ascii="Times New Roman" w:hAnsi="標楷體" w:hint="eastAsia"/>
          <w:szCs w:val="24"/>
        </w:rPr>
        <w:t>(</w:t>
      </w:r>
      <w:r w:rsidR="0076578D" w:rsidRPr="0076578D">
        <w:rPr>
          <w:rFonts w:ascii="Times New Roman" w:hAnsi="標楷體" w:hint="eastAsia"/>
          <w:szCs w:val="24"/>
        </w:rPr>
        <w:t>預定發布時間如遇例假日則順延至次一工作日</w:t>
      </w:r>
      <w:r w:rsidR="0076578D" w:rsidRPr="0076578D">
        <w:rPr>
          <w:rFonts w:ascii="Times New Roman" w:hAnsi="標楷體" w:hint="eastAsia"/>
          <w:szCs w:val="24"/>
        </w:rPr>
        <w:t>)</w:t>
      </w:r>
      <w:r w:rsidRPr="00A44D82">
        <w:rPr>
          <w:rFonts w:ascii="Times New Roman" w:hAnsi="標楷體"/>
          <w:szCs w:val="24"/>
        </w:rPr>
        <w:t>。</w:t>
      </w:r>
    </w:p>
    <w:p w:rsidR="00B849DA" w:rsidRPr="00A44D82" w:rsidRDefault="00B849DA" w:rsidP="00B849DA">
      <w:pPr>
        <w:spacing w:line="360" w:lineRule="exact"/>
        <w:ind w:left="560" w:hanging="308"/>
        <w:jc w:val="both"/>
        <w:rPr>
          <w:rFonts w:ascii="Times New Roman" w:hAnsi="Times New Roman"/>
          <w:szCs w:val="24"/>
        </w:rPr>
      </w:pPr>
      <w:proofErr w:type="gramStart"/>
      <w:r w:rsidRPr="00A44D82">
        <w:rPr>
          <w:rFonts w:ascii="Times New Roman" w:hAnsi="標楷體"/>
          <w:szCs w:val="24"/>
        </w:rPr>
        <w:t>＊</w:t>
      </w:r>
      <w:proofErr w:type="gramEnd"/>
      <w:r w:rsidRPr="00A44D82">
        <w:rPr>
          <w:rFonts w:ascii="Times New Roman" w:hAnsi="標楷體"/>
          <w:szCs w:val="24"/>
        </w:rPr>
        <w:t>同步發送單位（說明資料發布時同步發送之單位或可同步查得該資料之網址）：</w:t>
      </w:r>
      <w:r w:rsidR="009E6FB9">
        <w:rPr>
          <w:rFonts w:hint="eastAsia"/>
          <w:szCs w:val="24"/>
        </w:rPr>
        <w:t>衛生福利部統計處、</w:t>
      </w:r>
      <w:proofErr w:type="gramStart"/>
      <w:r w:rsidR="00A04B2E">
        <w:rPr>
          <w:rFonts w:hint="eastAsia"/>
          <w:szCs w:val="24"/>
          <w:lang w:eastAsia="zh-HK"/>
        </w:rPr>
        <w:t>臺</w:t>
      </w:r>
      <w:proofErr w:type="gramEnd"/>
      <w:r w:rsidR="009E6FB9">
        <w:rPr>
          <w:rFonts w:hint="eastAsia"/>
          <w:szCs w:val="24"/>
        </w:rPr>
        <w:t>東縣政府主計處、</w:t>
      </w:r>
      <w:proofErr w:type="gramStart"/>
      <w:r w:rsidR="00A04B2E">
        <w:rPr>
          <w:rFonts w:hint="eastAsia"/>
          <w:szCs w:val="24"/>
          <w:lang w:eastAsia="zh-HK"/>
        </w:rPr>
        <w:t>臺</w:t>
      </w:r>
      <w:proofErr w:type="gramEnd"/>
      <w:r w:rsidR="002B785A" w:rsidRPr="006C6C8F">
        <w:rPr>
          <w:rFonts w:hAnsi="標楷體" w:cs="新細明體" w:hint="eastAsia"/>
          <w:kern w:val="0"/>
        </w:rPr>
        <w:t>東縣衛生局</w:t>
      </w:r>
    </w:p>
    <w:p w:rsidR="00B849DA" w:rsidRPr="00A44D82" w:rsidRDefault="00B849DA" w:rsidP="00B849DA">
      <w:pPr>
        <w:spacing w:before="240" w:line="360" w:lineRule="exact"/>
        <w:ind w:left="616" w:hanging="616"/>
        <w:jc w:val="both"/>
        <w:rPr>
          <w:rFonts w:ascii="Times New Roman" w:hAnsi="Times New Roman"/>
          <w:szCs w:val="24"/>
        </w:rPr>
      </w:pPr>
      <w:r w:rsidRPr="00A44D82">
        <w:rPr>
          <w:rFonts w:ascii="Times New Roman" w:hAnsi="標楷體"/>
          <w:szCs w:val="24"/>
        </w:rPr>
        <w:t>五、資料品質</w:t>
      </w:r>
    </w:p>
    <w:p w:rsidR="00B849DA" w:rsidRPr="00C83B00" w:rsidRDefault="00B849DA" w:rsidP="00C83B00">
      <w:pPr>
        <w:spacing w:line="360" w:lineRule="exact"/>
        <w:ind w:leftChars="100" w:left="480" w:hangingChars="100" w:hanging="240"/>
        <w:jc w:val="both"/>
        <w:rPr>
          <w:rFonts w:ascii="Times New Roman" w:hAnsi="標楷體"/>
          <w:szCs w:val="24"/>
        </w:rPr>
      </w:pPr>
      <w:proofErr w:type="gramStart"/>
      <w:r w:rsidRPr="00A44D82">
        <w:rPr>
          <w:rFonts w:ascii="Times New Roman" w:hAnsi="標楷體"/>
          <w:szCs w:val="24"/>
        </w:rPr>
        <w:t>＊</w:t>
      </w:r>
      <w:proofErr w:type="gramEnd"/>
      <w:r w:rsidRPr="00A44D82">
        <w:rPr>
          <w:rFonts w:ascii="Times New Roman" w:hAnsi="標楷體"/>
          <w:szCs w:val="24"/>
        </w:rPr>
        <w:t>統計指標編製方法與資料來源說明：本局會計室依</w:t>
      </w:r>
      <w:proofErr w:type="gramStart"/>
      <w:r w:rsidR="00A04B2E">
        <w:rPr>
          <w:rFonts w:ascii="Times New Roman" w:hAnsi="標楷體" w:hint="eastAsia"/>
          <w:szCs w:val="24"/>
          <w:lang w:eastAsia="zh-HK"/>
        </w:rPr>
        <w:t>臺</w:t>
      </w:r>
      <w:proofErr w:type="gramEnd"/>
      <w:r w:rsidRPr="00A44D82">
        <w:rPr>
          <w:rFonts w:ascii="Times New Roman" w:hAnsi="標楷體"/>
          <w:szCs w:val="24"/>
        </w:rPr>
        <w:t>東縣政府審定後之決算書</w:t>
      </w:r>
      <w:r w:rsidR="006077F0" w:rsidRPr="006077F0">
        <w:rPr>
          <w:rFonts w:ascii="Times New Roman" w:hAnsi="標楷體" w:hint="eastAsia"/>
          <w:szCs w:val="24"/>
        </w:rPr>
        <w:t>有關本府及其所屬有關醫療保健支出</w:t>
      </w:r>
      <w:r w:rsidRPr="00A44D82">
        <w:rPr>
          <w:rFonts w:ascii="Times New Roman" w:hAnsi="標楷體"/>
          <w:szCs w:val="24"/>
        </w:rPr>
        <w:t>編製</w:t>
      </w:r>
    </w:p>
    <w:p w:rsidR="00B849DA" w:rsidRPr="00C83B00" w:rsidRDefault="00B849DA" w:rsidP="00C83B00">
      <w:pPr>
        <w:spacing w:line="360" w:lineRule="exact"/>
        <w:ind w:leftChars="100" w:left="480" w:hangingChars="100" w:hanging="240"/>
        <w:jc w:val="both"/>
        <w:rPr>
          <w:rFonts w:ascii="Times New Roman" w:hAnsi="標楷體"/>
          <w:szCs w:val="24"/>
        </w:rPr>
      </w:pPr>
      <w:proofErr w:type="gramStart"/>
      <w:r w:rsidRPr="00A44D82">
        <w:rPr>
          <w:rFonts w:ascii="Times New Roman" w:hAnsi="標楷體"/>
          <w:szCs w:val="24"/>
        </w:rPr>
        <w:t>＊</w:t>
      </w:r>
      <w:proofErr w:type="gramEnd"/>
      <w:r w:rsidRPr="00A44D82">
        <w:rPr>
          <w:rFonts w:ascii="Times New Roman" w:hAnsi="標楷體"/>
          <w:szCs w:val="24"/>
        </w:rPr>
        <w:t>統計資料交叉查核及確保資料合理性之機制（說明各項資料之相互關係及不同資料來源之相關統計差異性）：總計</w:t>
      </w:r>
      <w:r w:rsidRPr="00C83B00">
        <w:rPr>
          <w:rFonts w:ascii="Times New Roman" w:hAnsi="標楷體"/>
          <w:szCs w:val="24"/>
        </w:rPr>
        <w:t>=</w:t>
      </w:r>
      <w:r w:rsidRPr="00A44D82">
        <w:rPr>
          <w:rFonts w:ascii="Times New Roman" w:hAnsi="標楷體"/>
          <w:szCs w:val="24"/>
        </w:rPr>
        <w:t>衛生局</w:t>
      </w:r>
      <w:r w:rsidRPr="00C83B00">
        <w:rPr>
          <w:rFonts w:ascii="Times New Roman" w:hAnsi="標楷體"/>
          <w:szCs w:val="24"/>
        </w:rPr>
        <w:t>+</w:t>
      </w:r>
      <w:r w:rsidRPr="00A44D82">
        <w:rPr>
          <w:rFonts w:ascii="Times New Roman" w:hAnsi="標楷體"/>
          <w:szCs w:val="24"/>
        </w:rPr>
        <w:t>衛生所</w:t>
      </w:r>
      <w:r w:rsidRPr="00C83B00">
        <w:rPr>
          <w:rFonts w:ascii="Times New Roman" w:hAnsi="標楷體"/>
          <w:szCs w:val="24"/>
        </w:rPr>
        <w:t>+</w:t>
      </w:r>
      <w:r w:rsidRPr="00A44D82">
        <w:rPr>
          <w:rFonts w:ascii="Times New Roman" w:hAnsi="標楷體"/>
          <w:szCs w:val="24"/>
        </w:rPr>
        <w:t>其他政府部門；</w:t>
      </w:r>
      <w:r w:rsidRPr="00B3118E">
        <w:rPr>
          <w:rFonts w:ascii="Times New Roman" w:hAnsi="標楷體"/>
          <w:szCs w:val="24"/>
        </w:rPr>
        <w:t>一般衛生業務總計</w:t>
      </w:r>
      <w:r w:rsidRPr="00B3118E">
        <w:rPr>
          <w:rFonts w:ascii="Times New Roman" w:hAnsi="標楷體"/>
          <w:szCs w:val="24"/>
        </w:rPr>
        <w:t>=</w:t>
      </w:r>
      <w:r w:rsidRPr="00B3118E">
        <w:rPr>
          <w:rFonts w:ascii="Times New Roman" w:hAnsi="標楷體"/>
          <w:szCs w:val="24"/>
        </w:rPr>
        <w:t>一般行政</w:t>
      </w:r>
      <w:r w:rsidRPr="00B3118E">
        <w:rPr>
          <w:rFonts w:ascii="Times New Roman" w:hAnsi="標楷體"/>
          <w:szCs w:val="24"/>
        </w:rPr>
        <w:t>+</w:t>
      </w:r>
      <w:r w:rsidRPr="00B3118E">
        <w:rPr>
          <w:rFonts w:ascii="Times New Roman" w:hAnsi="標楷體"/>
          <w:szCs w:val="24"/>
        </w:rPr>
        <w:t>防疫</w:t>
      </w:r>
      <w:r w:rsidRPr="00B3118E">
        <w:rPr>
          <w:rFonts w:ascii="Times New Roman" w:hAnsi="標楷體"/>
          <w:szCs w:val="24"/>
        </w:rPr>
        <w:t>+</w:t>
      </w:r>
      <w:r w:rsidRPr="00B3118E">
        <w:rPr>
          <w:rFonts w:ascii="Times New Roman" w:hAnsi="標楷體"/>
          <w:szCs w:val="24"/>
        </w:rPr>
        <w:t>保健</w:t>
      </w:r>
      <w:r w:rsidRPr="00B3118E">
        <w:rPr>
          <w:rFonts w:ascii="Times New Roman" w:hAnsi="標楷體"/>
          <w:szCs w:val="24"/>
        </w:rPr>
        <w:t>+</w:t>
      </w:r>
      <w:proofErr w:type="gramStart"/>
      <w:r w:rsidRPr="00B3118E">
        <w:rPr>
          <w:rFonts w:ascii="Times New Roman" w:hAnsi="標楷體"/>
          <w:szCs w:val="24"/>
        </w:rPr>
        <w:t>醫</w:t>
      </w:r>
      <w:proofErr w:type="gramEnd"/>
      <w:r w:rsidRPr="00B3118E">
        <w:rPr>
          <w:rFonts w:ascii="Times New Roman" w:hAnsi="標楷體"/>
          <w:szCs w:val="24"/>
        </w:rPr>
        <w:t>政</w:t>
      </w:r>
      <w:r w:rsidRPr="00B3118E">
        <w:rPr>
          <w:rFonts w:ascii="Times New Roman" w:hAnsi="標楷體"/>
          <w:szCs w:val="24"/>
        </w:rPr>
        <w:t>+</w:t>
      </w:r>
      <w:r w:rsidRPr="00B3118E">
        <w:rPr>
          <w:rFonts w:ascii="Times New Roman" w:hAnsi="標楷體"/>
          <w:szCs w:val="24"/>
        </w:rPr>
        <w:t>藥物食品</w:t>
      </w:r>
      <w:r w:rsidRPr="00B3118E">
        <w:rPr>
          <w:rFonts w:ascii="Times New Roman" w:hAnsi="標楷體"/>
          <w:szCs w:val="24"/>
        </w:rPr>
        <w:t>+</w:t>
      </w:r>
      <w:r w:rsidRPr="00B3118E">
        <w:rPr>
          <w:rFonts w:ascii="Times New Roman" w:hAnsi="標楷體"/>
          <w:szCs w:val="24"/>
        </w:rPr>
        <w:t>環境衛生</w:t>
      </w:r>
      <w:r w:rsidRPr="00B3118E">
        <w:rPr>
          <w:rFonts w:ascii="Times New Roman" w:hAnsi="標楷體"/>
          <w:szCs w:val="24"/>
        </w:rPr>
        <w:t>+</w:t>
      </w:r>
      <w:r w:rsidRPr="00B3118E">
        <w:rPr>
          <w:rFonts w:ascii="Times New Roman" w:hAnsi="標楷體"/>
          <w:szCs w:val="24"/>
        </w:rPr>
        <w:t>衛生檢驗</w:t>
      </w:r>
      <w:r w:rsidRPr="00B3118E">
        <w:rPr>
          <w:rFonts w:ascii="Times New Roman" w:hAnsi="標楷體"/>
          <w:szCs w:val="24"/>
        </w:rPr>
        <w:t>+</w:t>
      </w:r>
      <w:r w:rsidRPr="00B3118E">
        <w:rPr>
          <w:rFonts w:ascii="Times New Roman" w:hAnsi="標楷體"/>
          <w:szCs w:val="24"/>
        </w:rPr>
        <w:t>教育宣導</w:t>
      </w:r>
      <w:r w:rsidRPr="00B3118E">
        <w:rPr>
          <w:rFonts w:ascii="Times New Roman" w:hAnsi="標楷體"/>
          <w:szCs w:val="24"/>
        </w:rPr>
        <w:t>+</w:t>
      </w:r>
      <w:r w:rsidRPr="00B3118E">
        <w:rPr>
          <w:rFonts w:ascii="Times New Roman" w:hAnsi="標楷體"/>
          <w:szCs w:val="24"/>
        </w:rPr>
        <w:t>其他</w:t>
      </w:r>
    </w:p>
    <w:p w:rsidR="00B849DA" w:rsidRPr="00A44D82" w:rsidRDefault="00B849DA" w:rsidP="00B849DA">
      <w:pPr>
        <w:spacing w:before="240" w:line="360" w:lineRule="exact"/>
        <w:ind w:left="600" w:hanging="600"/>
        <w:jc w:val="both"/>
        <w:rPr>
          <w:rFonts w:ascii="Times New Roman" w:hAnsi="Times New Roman"/>
          <w:szCs w:val="24"/>
        </w:rPr>
      </w:pPr>
      <w:r w:rsidRPr="00A44D82">
        <w:rPr>
          <w:rFonts w:ascii="Times New Roman" w:hAnsi="標楷體"/>
          <w:szCs w:val="24"/>
        </w:rPr>
        <w:t>六、須注意及預定改變之事項（說明預定修正之資料、定義、統計方法等及其修正原因）：無</w:t>
      </w:r>
    </w:p>
    <w:p w:rsidR="00B849DA" w:rsidRPr="00A44D82" w:rsidRDefault="00B849DA" w:rsidP="00B849DA">
      <w:pPr>
        <w:spacing w:before="240" w:line="360" w:lineRule="exact"/>
        <w:ind w:left="600" w:hanging="600"/>
        <w:jc w:val="both"/>
        <w:rPr>
          <w:rFonts w:ascii="Times New Roman" w:hAnsi="Times New Roman"/>
          <w:szCs w:val="24"/>
        </w:rPr>
      </w:pPr>
      <w:r w:rsidRPr="00A44D82">
        <w:rPr>
          <w:rFonts w:ascii="Times New Roman" w:hAnsi="標楷體"/>
          <w:szCs w:val="24"/>
        </w:rPr>
        <w:t>七、其他事項：無</w:t>
      </w:r>
    </w:p>
    <w:p w:rsidR="002B777C" w:rsidRDefault="002B777C"/>
    <w:sectPr w:rsidR="002B777C" w:rsidSect="00471616">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A1" w:rsidRDefault="00AA18A1" w:rsidP="006238C3">
      <w:r>
        <w:separator/>
      </w:r>
    </w:p>
  </w:endnote>
  <w:endnote w:type="continuationSeparator" w:id="0">
    <w:p w:rsidR="00AA18A1" w:rsidRDefault="00AA18A1" w:rsidP="0062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A1" w:rsidRDefault="00AA18A1" w:rsidP="006238C3">
      <w:r>
        <w:separator/>
      </w:r>
    </w:p>
  </w:footnote>
  <w:footnote w:type="continuationSeparator" w:id="0">
    <w:p w:rsidR="00AA18A1" w:rsidRDefault="00AA18A1" w:rsidP="00623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EF1"/>
    <w:multiLevelType w:val="hybridMultilevel"/>
    <w:tmpl w:val="5A30366E"/>
    <w:lvl w:ilvl="0" w:tplc="02DCEA7C">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29FC6688"/>
    <w:multiLevelType w:val="hybridMultilevel"/>
    <w:tmpl w:val="78F27202"/>
    <w:lvl w:ilvl="0" w:tplc="B348866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5EA77E44"/>
    <w:multiLevelType w:val="hybridMultilevel"/>
    <w:tmpl w:val="A8F8CCD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3A61CB3"/>
    <w:multiLevelType w:val="hybridMultilevel"/>
    <w:tmpl w:val="7368EDC4"/>
    <w:lvl w:ilvl="0" w:tplc="B3488666">
      <w:start w:val="1"/>
      <w:numFmt w:val="taiwaneseCountingThousand"/>
      <w:lvlText w:val="(%1)"/>
      <w:lvlJc w:val="left"/>
      <w:pPr>
        <w:ind w:left="4046"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5">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DA"/>
    <w:rsid w:val="000874B8"/>
    <w:rsid w:val="000A115E"/>
    <w:rsid w:val="000B2E47"/>
    <w:rsid w:val="001C6E96"/>
    <w:rsid w:val="002634A7"/>
    <w:rsid w:val="002B777C"/>
    <w:rsid w:val="002B785A"/>
    <w:rsid w:val="002E4ADA"/>
    <w:rsid w:val="00300721"/>
    <w:rsid w:val="00324117"/>
    <w:rsid w:val="0039039B"/>
    <w:rsid w:val="0039674B"/>
    <w:rsid w:val="003F5C03"/>
    <w:rsid w:val="00471616"/>
    <w:rsid w:val="004B14F0"/>
    <w:rsid w:val="004B779D"/>
    <w:rsid w:val="0057244E"/>
    <w:rsid w:val="006077F0"/>
    <w:rsid w:val="006238C3"/>
    <w:rsid w:val="00696612"/>
    <w:rsid w:val="006B1472"/>
    <w:rsid w:val="006D0E1D"/>
    <w:rsid w:val="007154E5"/>
    <w:rsid w:val="0076578D"/>
    <w:rsid w:val="007902FB"/>
    <w:rsid w:val="007D41C9"/>
    <w:rsid w:val="007E4AB0"/>
    <w:rsid w:val="00814624"/>
    <w:rsid w:val="009B77F4"/>
    <w:rsid w:val="009E6FB9"/>
    <w:rsid w:val="00A04B2E"/>
    <w:rsid w:val="00AA18A1"/>
    <w:rsid w:val="00AE2399"/>
    <w:rsid w:val="00B13D28"/>
    <w:rsid w:val="00B16235"/>
    <w:rsid w:val="00B518B0"/>
    <w:rsid w:val="00B849DA"/>
    <w:rsid w:val="00B934B0"/>
    <w:rsid w:val="00BB229C"/>
    <w:rsid w:val="00C31983"/>
    <w:rsid w:val="00C83B00"/>
    <w:rsid w:val="00CD3D59"/>
    <w:rsid w:val="00DF3540"/>
    <w:rsid w:val="00F25DAF"/>
    <w:rsid w:val="00F47879"/>
    <w:rsid w:val="00FE21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A"/>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4F0"/>
    <w:pPr>
      <w:ind w:leftChars="200" w:left="480"/>
    </w:pPr>
  </w:style>
  <w:style w:type="paragraph" w:styleId="a4">
    <w:name w:val="header"/>
    <w:basedOn w:val="a"/>
    <w:link w:val="a5"/>
    <w:uiPriority w:val="99"/>
    <w:semiHidden/>
    <w:unhideWhenUsed/>
    <w:rsid w:val="006238C3"/>
    <w:pPr>
      <w:tabs>
        <w:tab w:val="center" w:pos="4153"/>
        <w:tab w:val="right" w:pos="8306"/>
      </w:tabs>
      <w:snapToGrid w:val="0"/>
    </w:pPr>
    <w:rPr>
      <w:sz w:val="20"/>
      <w:szCs w:val="20"/>
    </w:rPr>
  </w:style>
  <w:style w:type="character" w:customStyle="1" w:styleId="a5">
    <w:name w:val="頁首 字元"/>
    <w:basedOn w:val="a0"/>
    <w:link w:val="a4"/>
    <w:uiPriority w:val="99"/>
    <w:semiHidden/>
    <w:rsid w:val="006238C3"/>
    <w:rPr>
      <w:rFonts w:ascii="標楷體" w:eastAsia="標楷體" w:hAnsi="Calibri" w:cs="Times New Roman"/>
      <w:sz w:val="20"/>
      <w:szCs w:val="20"/>
    </w:rPr>
  </w:style>
  <w:style w:type="paragraph" w:styleId="a6">
    <w:name w:val="footer"/>
    <w:basedOn w:val="a"/>
    <w:link w:val="a7"/>
    <w:uiPriority w:val="99"/>
    <w:semiHidden/>
    <w:unhideWhenUsed/>
    <w:rsid w:val="006238C3"/>
    <w:pPr>
      <w:tabs>
        <w:tab w:val="center" w:pos="4153"/>
        <w:tab w:val="right" w:pos="8306"/>
      </w:tabs>
      <w:snapToGrid w:val="0"/>
    </w:pPr>
    <w:rPr>
      <w:sz w:val="20"/>
      <w:szCs w:val="20"/>
    </w:rPr>
  </w:style>
  <w:style w:type="character" w:customStyle="1" w:styleId="a7">
    <w:name w:val="頁尾 字元"/>
    <w:basedOn w:val="a0"/>
    <w:link w:val="a6"/>
    <w:uiPriority w:val="99"/>
    <w:semiHidden/>
    <w:rsid w:val="006238C3"/>
    <w:rPr>
      <w:rFonts w:ascii="標楷體" w:eastAsia="標楷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DA"/>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4F0"/>
    <w:pPr>
      <w:ind w:leftChars="200" w:left="480"/>
    </w:pPr>
  </w:style>
  <w:style w:type="paragraph" w:styleId="a4">
    <w:name w:val="header"/>
    <w:basedOn w:val="a"/>
    <w:link w:val="a5"/>
    <w:uiPriority w:val="99"/>
    <w:semiHidden/>
    <w:unhideWhenUsed/>
    <w:rsid w:val="006238C3"/>
    <w:pPr>
      <w:tabs>
        <w:tab w:val="center" w:pos="4153"/>
        <w:tab w:val="right" w:pos="8306"/>
      </w:tabs>
      <w:snapToGrid w:val="0"/>
    </w:pPr>
    <w:rPr>
      <w:sz w:val="20"/>
      <w:szCs w:val="20"/>
    </w:rPr>
  </w:style>
  <w:style w:type="character" w:customStyle="1" w:styleId="a5">
    <w:name w:val="頁首 字元"/>
    <w:basedOn w:val="a0"/>
    <w:link w:val="a4"/>
    <w:uiPriority w:val="99"/>
    <w:semiHidden/>
    <w:rsid w:val="006238C3"/>
    <w:rPr>
      <w:rFonts w:ascii="標楷體" w:eastAsia="標楷體" w:hAnsi="Calibri" w:cs="Times New Roman"/>
      <w:sz w:val="20"/>
      <w:szCs w:val="20"/>
    </w:rPr>
  </w:style>
  <w:style w:type="paragraph" w:styleId="a6">
    <w:name w:val="footer"/>
    <w:basedOn w:val="a"/>
    <w:link w:val="a7"/>
    <w:uiPriority w:val="99"/>
    <w:semiHidden/>
    <w:unhideWhenUsed/>
    <w:rsid w:val="006238C3"/>
    <w:pPr>
      <w:tabs>
        <w:tab w:val="center" w:pos="4153"/>
        <w:tab w:val="right" w:pos="8306"/>
      </w:tabs>
      <w:snapToGrid w:val="0"/>
    </w:pPr>
    <w:rPr>
      <w:sz w:val="20"/>
      <w:szCs w:val="20"/>
    </w:rPr>
  </w:style>
  <w:style w:type="character" w:customStyle="1" w:styleId="a7">
    <w:name w:val="頁尾 字元"/>
    <w:basedOn w:val="a0"/>
    <w:link w:val="a6"/>
    <w:uiPriority w:val="99"/>
    <w:semiHidden/>
    <w:rsid w:val="006238C3"/>
    <w:rPr>
      <w:rFonts w:ascii="標楷體" w:eastAsia="標楷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35734">
      <w:bodyDiv w:val="1"/>
      <w:marLeft w:val="0"/>
      <w:marRight w:val="0"/>
      <w:marTop w:val="0"/>
      <w:marBottom w:val="0"/>
      <w:divBdr>
        <w:top w:val="none" w:sz="0" w:space="0" w:color="auto"/>
        <w:left w:val="none" w:sz="0" w:space="0" w:color="auto"/>
        <w:bottom w:val="none" w:sz="0" w:space="0" w:color="auto"/>
        <w:right w:val="none" w:sz="0" w:space="0" w:color="auto"/>
      </w:divBdr>
    </w:div>
    <w:div w:id="2003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2021-10-18T06:56:00Z</dcterms:created>
  <dcterms:modified xsi:type="dcterms:W3CDTF">2023-11-26T08:21:00Z</dcterms:modified>
</cp:coreProperties>
</file>